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8" w:type="dxa"/>
        <w:tblInd w:w="-252" w:type="dxa"/>
        <w:tblLayout w:type="fixed"/>
        <w:tblLook w:val="0000"/>
      </w:tblPr>
      <w:tblGrid>
        <w:gridCol w:w="3545"/>
        <w:gridCol w:w="301"/>
        <w:gridCol w:w="5812"/>
      </w:tblGrid>
      <w:tr w:rsidR="00944624" w:rsidRPr="00321B16">
        <w:tc>
          <w:tcPr>
            <w:tcW w:w="3545" w:type="dxa"/>
            <w:vMerge w:val="restart"/>
            <w:tcBorders>
              <w:top w:val="nil"/>
              <w:left w:val="nil"/>
              <w:right w:val="nil"/>
            </w:tcBorders>
          </w:tcPr>
          <w:p w:rsidR="003B31F3" w:rsidRPr="00321B16" w:rsidRDefault="009D408C" w:rsidP="00D75EF8">
            <w:pPr>
              <w:keepNext/>
              <w:jc w:val="center"/>
              <w:rPr>
                <w:b/>
                <w:bCs/>
                <w:sz w:val="26"/>
                <w:szCs w:val="26"/>
              </w:rPr>
            </w:pPr>
            <w:r w:rsidRPr="00321B16">
              <w:rPr>
                <w:b/>
                <w:bCs/>
                <w:sz w:val="26"/>
                <w:szCs w:val="26"/>
              </w:rPr>
              <w:t>BỘ TÀI CHÍNH</w:t>
            </w:r>
          </w:p>
          <w:p w:rsidR="004D59AB" w:rsidRPr="00321B16" w:rsidRDefault="007E2AE6" w:rsidP="00D75EF8">
            <w:pPr>
              <w:keepNext/>
              <w:jc w:val="center"/>
              <w:rPr>
                <w:b/>
                <w:bCs/>
                <w:sz w:val="26"/>
                <w:szCs w:val="26"/>
              </w:rPr>
            </w:pPr>
            <w:r w:rsidRPr="007E2AE6">
              <w:rPr>
                <w:b/>
                <w:bCs/>
                <w:noProof/>
                <w:sz w:val="24"/>
                <w:szCs w:val="26"/>
              </w:rPr>
              <w:pict>
                <v:shapetype id="_x0000_t32" coordsize="21600,21600" o:spt="32" o:oned="t" path="m,l21600,21600e" filled="f">
                  <v:path arrowok="t" fillok="f" o:connecttype="none"/>
                  <o:lock v:ext="edit" shapetype="t"/>
                </v:shapetype>
                <v:shape id="_x0000_s1030" type="#_x0000_t32" style="position:absolute;left:0;text-align:left;margin-left:54.5pt;margin-top:7.35pt;width:55.45pt;height:0;z-index:251657728" o:connectortype="straight"/>
              </w:pict>
            </w:r>
          </w:p>
          <w:p w:rsidR="00944624" w:rsidRPr="00321B16" w:rsidRDefault="00E536BC" w:rsidP="00D75EF8">
            <w:pPr>
              <w:keepNext/>
              <w:jc w:val="center"/>
              <w:rPr>
                <w:b/>
              </w:rPr>
            </w:pPr>
            <w:r w:rsidRPr="00321B16">
              <w:rPr>
                <w:sz w:val="26"/>
              </w:rPr>
              <w:t>Số:</w:t>
            </w:r>
            <w:r w:rsidRPr="00321B16">
              <w:rPr>
                <w:b/>
                <w:sz w:val="26"/>
              </w:rPr>
              <w:t xml:space="preserve">         </w:t>
            </w:r>
            <w:r w:rsidR="00770AAD">
              <w:rPr>
                <w:b/>
                <w:sz w:val="26"/>
              </w:rPr>
              <w:t xml:space="preserve">     /</w:t>
            </w:r>
            <w:r w:rsidR="00770AAD">
              <w:rPr>
                <w:sz w:val="26"/>
              </w:rPr>
              <w:t>QĐ-BTC</w:t>
            </w:r>
          </w:p>
        </w:tc>
        <w:tc>
          <w:tcPr>
            <w:tcW w:w="301" w:type="dxa"/>
            <w:tcBorders>
              <w:top w:val="nil"/>
              <w:left w:val="nil"/>
              <w:bottom w:val="nil"/>
              <w:right w:val="nil"/>
            </w:tcBorders>
          </w:tcPr>
          <w:p w:rsidR="00944624" w:rsidRPr="00321B16" w:rsidRDefault="00944624" w:rsidP="00D75EF8">
            <w:pPr>
              <w:keepNext/>
              <w:widowControl w:val="0"/>
              <w:autoSpaceDE w:val="0"/>
              <w:autoSpaceDN w:val="0"/>
              <w:adjustRightInd w:val="0"/>
              <w:ind w:firstLine="13"/>
              <w:jc w:val="center"/>
              <w:outlineLvl w:val="0"/>
              <w:rPr>
                <w:b/>
                <w:bCs/>
                <w:sz w:val="26"/>
                <w:szCs w:val="26"/>
              </w:rPr>
            </w:pPr>
          </w:p>
        </w:tc>
        <w:tc>
          <w:tcPr>
            <w:tcW w:w="5812" w:type="dxa"/>
            <w:vMerge w:val="restart"/>
            <w:tcBorders>
              <w:top w:val="nil"/>
              <w:left w:val="nil"/>
              <w:right w:val="nil"/>
            </w:tcBorders>
          </w:tcPr>
          <w:p w:rsidR="00944624" w:rsidRPr="00321B16" w:rsidRDefault="00770AAD" w:rsidP="00D75EF8">
            <w:pPr>
              <w:keepNext/>
              <w:tabs>
                <w:tab w:val="left" w:pos="5652"/>
              </w:tabs>
              <w:jc w:val="center"/>
              <w:rPr>
                <w:b/>
                <w:bCs/>
                <w:sz w:val="26"/>
                <w:szCs w:val="26"/>
              </w:rPr>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p>
          <w:p w:rsidR="00944624" w:rsidRPr="00321B16" w:rsidRDefault="00770AAD" w:rsidP="00D75EF8">
            <w:pPr>
              <w:keepNext/>
              <w:tabs>
                <w:tab w:val="left" w:pos="5652"/>
              </w:tabs>
              <w:jc w:val="center"/>
              <w:rPr>
                <w:b/>
                <w:bCs/>
              </w:rPr>
            </w:pPr>
            <w:r>
              <w:rPr>
                <w:b/>
                <w:bCs/>
              </w:rPr>
              <w:t>Độc lập - Tự do - Hạnh phúc</w:t>
            </w:r>
          </w:p>
          <w:p w:rsidR="001B1182" w:rsidRPr="00321B16" w:rsidRDefault="007E2AE6" w:rsidP="00D75EF8">
            <w:pPr>
              <w:pStyle w:val="Heading1"/>
              <w:keepNext/>
              <w:tabs>
                <w:tab w:val="left" w:pos="5652"/>
              </w:tabs>
              <w:jc w:val="center"/>
              <w:rPr>
                <w:iCs/>
                <w:sz w:val="26"/>
                <w:szCs w:val="26"/>
              </w:rPr>
            </w:pPr>
            <w:r>
              <w:rPr>
                <w:iCs/>
                <w:noProof/>
                <w:sz w:val="26"/>
                <w:szCs w:val="26"/>
                <w:lang w:val="vi-VN" w:eastAsia="vi-VN"/>
              </w:rPr>
              <w:pict>
                <v:shape id="_x0000_s1032" type="#_x0000_t32" style="position:absolute;left:0;text-align:left;margin-left:53.9pt;margin-top:5.55pt;width:172.6pt;height:.05pt;z-index:251658752" o:connectortype="straight"/>
              </w:pict>
            </w:r>
          </w:p>
          <w:p w:rsidR="00944624" w:rsidRPr="00321B16" w:rsidRDefault="00770AAD" w:rsidP="00E67DFE">
            <w:pPr>
              <w:pStyle w:val="Heading1"/>
              <w:keepNext/>
              <w:tabs>
                <w:tab w:val="left" w:pos="5652"/>
              </w:tabs>
              <w:jc w:val="center"/>
              <w:rPr>
                <w:i/>
                <w:iCs/>
                <w:sz w:val="28"/>
                <w:szCs w:val="28"/>
              </w:rPr>
            </w:pPr>
            <w:r>
              <w:rPr>
                <w:i/>
                <w:iCs/>
                <w:sz w:val="28"/>
                <w:szCs w:val="28"/>
              </w:rPr>
              <w:t>Hà Nội,  ngày       tháng     năm 2014</w:t>
            </w:r>
          </w:p>
        </w:tc>
      </w:tr>
      <w:tr w:rsidR="00944624" w:rsidRPr="00321B16">
        <w:trPr>
          <w:trHeight w:val="344"/>
        </w:trPr>
        <w:tc>
          <w:tcPr>
            <w:tcW w:w="3545" w:type="dxa"/>
            <w:vMerge/>
            <w:tcBorders>
              <w:left w:val="nil"/>
              <w:right w:val="nil"/>
            </w:tcBorders>
          </w:tcPr>
          <w:p w:rsidR="00944624" w:rsidRPr="00321B16" w:rsidRDefault="00944624" w:rsidP="008217C2">
            <w:pPr>
              <w:keepNext/>
              <w:widowControl w:val="0"/>
              <w:autoSpaceDE w:val="0"/>
              <w:autoSpaceDN w:val="0"/>
              <w:adjustRightInd w:val="0"/>
              <w:jc w:val="center"/>
              <w:outlineLvl w:val="0"/>
              <w:rPr>
                <w:b/>
                <w:bCs/>
                <w:sz w:val="26"/>
                <w:szCs w:val="26"/>
              </w:rPr>
            </w:pPr>
          </w:p>
        </w:tc>
        <w:tc>
          <w:tcPr>
            <w:tcW w:w="301" w:type="dxa"/>
            <w:tcBorders>
              <w:top w:val="nil"/>
              <w:left w:val="nil"/>
              <w:bottom w:val="nil"/>
              <w:right w:val="nil"/>
            </w:tcBorders>
          </w:tcPr>
          <w:p w:rsidR="00944624" w:rsidRPr="00321B16" w:rsidRDefault="00944624" w:rsidP="008217C2">
            <w:pPr>
              <w:keepNext/>
              <w:widowControl w:val="0"/>
              <w:autoSpaceDE w:val="0"/>
              <w:autoSpaceDN w:val="0"/>
              <w:adjustRightInd w:val="0"/>
              <w:jc w:val="center"/>
              <w:outlineLvl w:val="0"/>
              <w:rPr>
                <w:b/>
                <w:bCs/>
                <w:sz w:val="26"/>
                <w:szCs w:val="26"/>
              </w:rPr>
            </w:pPr>
          </w:p>
        </w:tc>
        <w:tc>
          <w:tcPr>
            <w:tcW w:w="5812" w:type="dxa"/>
            <w:vMerge/>
            <w:tcBorders>
              <w:left w:val="nil"/>
              <w:right w:val="nil"/>
            </w:tcBorders>
          </w:tcPr>
          <w:p w:rsidR="00944624" w:rsidRPr="00321B16" w:rsidRDefault="00944624" w:rsidP="008217C2">
            <w:pPr>
              <w:pStyle w:val="Heading1"/>
              <w:keepNext/>
              <w:tabs>
                <w:tab w:val="left" w:pos="5652"/>
              </w:tabs>
              <w:jc w:val="right"/>
              <w:rPr>
                <w:b/>
                <w:bCs/>
                <w:sz w:val="26"/>
                <w:szCs w:val="26"/>
              </w:rPr>
            </w:pPr>
          </w:p>
        </w:tc>
      </w:tr>
      <w:tr w:rsidR="00944624" w:rsidRPr="00321B16">
        <w:tc>
          <w:tcPr>
            <w:tcW w:w="3545" w:type="dxa"/>
            <w:vMerge/>
            <w:tcBorders>
              <w:left w:val="nil"/>
              <w:bottom w:val="nil"/>
              <w:right w:val="nil"/>
            </w:tcBorders>
          </w:tcPr>
          <w:p w:rsidR="00944624" w:rsidRPr="00321B16" w:rsidRDefault="00944624" w:rsidP="008217C2">
            <w:pPr>
              <w:keepNext/>
              <w:widowControl w:val="0"/>
              <w:autoSpaceDE w:val="0"/>
              <w:autoSpaceDN w:val="0"/>
              <w:adjustRightInd w:val="0"/>
              <w:jc w:val="center"/>
              <w:outlineLvl w:val="0"/>
              <w:rPr>
                <w:b/>
                <w:sz w:val="26"/>
                <w:szCs w:val="26"/>
              </w:rPr>
            </w:pPr>
          </w:p>
        </w:tc>
        <w:tc>
          <w:tcPr>
            <w:tcW w:w="301" w:type="dxa"/>
            <w:tcBorders>
              <w:top w:val="nil"/>
              <w:left w:val="nil"/>
              <w:bottom w:val="nil"/>
              <w:right w:val="nil"/>
            </w:tcBorders>
          </w:tcPr>
          <w:p w:rsidR="00944624" w:rsidRPr="00321B16" w:rsidRDefault="00944624" w:rsidP="008217C2">
            <w:pPr>
              <w:keepNext/>
              <w:widowControl w:val="0"/>
              <w:autoSpaceDE w:val="0"/>
              <w:autoSpaceDN w:val="0"/>
              <w:adjustRightInd w:val="0"/>
              <w:jc w:val="center"/>
              <w:outlineLvl w:val="0"/>
              <w:rPr>
                <w:b/>
                <w:bCs/>
                <w:sz w:val="26"/>
                <w:szCs w:val="26"/>
              </w:rPr>
            </w:pPr>
          </w:p>
        </w:tc>
        <w:tc>
          <w:tcPr>
            <w:tcW w:w="5812" w:type="dxa"/>
            <w:vMerge/>
            <w:tcBorders>
              <w:left w:val="nil"/>
              <w:bottom w:val="nil"/>
              <w:right w:val="nil"/>
            </w:tcBorders>
          </w:tcPr>
          <w:p w:rsidR="00944624" w:rsidRPr="00321B16" w:rsidRDefault="00944624" w:rsidP="008217C2">
            <w:pPr>
              <w:pStyle w:val="Heading1"/>
              <w:keepNext/>
              <w:tabs>
                <w:tab w:val="left" w:pos="5652"/>
              </w:tabs>
              <w:jc w:val="right"/>
              <w:rPr>
                <w:b/>
                <w:bCs/>
                <w:i/>
                <w:iCs/>
                <w:sz w:val="26"/>
                <w:szCs w:val="26"/>
              </w:rPr>
            </w:pPr>
          </w:p>
        </w:tc>
      </w:tr>
    </w:tbl>
    <w:p w:rsidR="00525549" w:rsidRPr="00321B16" w:rsidRDefault="00525549" w:rsidP="008217C2">
      <w:pPr>
        <w:rPr>
          <w:sz w:val="42"/>
        </w:rPr>
      </w:pPr>
    </w:p>
    <w:p w:rsidR="00A12C06" w:rsidRPr="00321B16" w:rsidRDefault="00A12C06" w:rsidP="008217C2">
      <w:pPr>
        <w:pStyle w:val="Heading5"/>
        <w:jc w:val="center"/>
        <w:rPr>
          <w:b/>
          <w:bCs/>
          <w:sz w:val="6"/>
          <w:szCs w:val="28"/>
        </w:rPr>
      </w:pPr>
    </w:p>
    <w:p w:rsidR="001B1182" w:rsidRPr="00321B16" w:rsidRDefault="00770AAD" w:rsidP="007A77C5">
      <w:pPr>
        <w:pStyle w:val="Heading5"/>
        <w:spacing w:line="360" w:lineRule="auto"/>
        <w:jc w:val="center"/>
        <w:rPr>
          <w:b/>
          <w:bCs/>
          <w:sz w:val="28"/>
          <w:szCs w:val="28"/>
        </w:rPr>
      </w:pPr>
      <w:r>
        <w:rPr>
          <w:b/>
          <w:bCs/>
          <w:sz w:val="28"/>
          <w:szCs w:val="28"/>
        </w:rPr>
        <w:t>QUYẾT ĐỊNH</w:t>
      </w:r>
    </w:p>
    <w:p w:rsidR="008A2404" w:rsidRPr="00321B16" w:rsidRDefault="00770AAD" w:rsidP="00C60917">
      <w:pPr>
        <w:pStyle w:val="Heading5"/>
        <w:jc w:val="center"/>
        <w:rPr>
          <w:b/>
          <w:bCs/>
          <w:sz w:val="28"/>
          <w:szCs w:val="28"/>
        </w:rPr>
      </w:pPr>
      <w:r>
        <w:rPr>
          <w:b/>
          <w:bCs/>
          <w:sz w:val="28"/>
          <w:szCs w:val="28"/>
        </w:rPr>
        <w:t>Phê duyệt Đề án “Nâng cao năng lực                                                                       hoạt động thẩm định giá của Việt Nam giai đoạn 2013-2020</w:t>
      </w:r>
    </w:p>
    <w:p w:rsidR="001B1182" w:rsidRPr="00321B16" w:rsidRDefault="007E2AE6" w:rsidP="008217C2">
      <w:r w:rsidRPr="007E2AE6">
        <w:rPr>
          <w:noProof/>
        </w:rPr>
        <w:pict>
          <v:shape id="_x0000_s1028" type="#_x0000_t32" style="position:absolute;margin-left:176.8pt;margin-top:7.7pt;width:104.1pt;height:0;z-index:251656704" o:connectortype="straight"/>
        </w:pict>
      </w:r>
    </w:p>
    <w:p w:rsidR="00E64A7D" w:rsidRPr="00321B16" w:rsidRDefault="00E64A7D" w:rsidP="008217C2">
      <w:pPr>
        <w:tabs>
          <w:tab w:val="left" w:pos="360"/>
        </w:tabs>
        <w:jc w:val="center"/>
        <w:rPr>
          <w:b/>
          <w:bCs/>
          <w:sz w:val="4"/>
        </w:rPr>
      </w:pPr>
    </w:p>
    <w:p w:rsidR="003E1168" w:rsidRPr="00321B16" w:rsidRDefault="003E1168" w:rsidP="003E1168">
      <w:pPr>
        <w:jc w:val="center"/>
        <w:rPr>
          <w:b/>
          <w:bCs/>
          <w:sz w:val="2"/>
        </w:rPr>
      </w:pPr>
    </w:p>
    <w:p w:rsidR="00B92E92" w:rsidRDefault="00770AAD">
      <w:pPr>
        <w:spacing w:before="240" w:after="240" w:line="276" w:lineRule="auto"/>
        <w:jc w:val="center"/>
        <w:rPr>
          <w:b/>
          <w:bCs/>
          <w:sz w:val="26"/>
        </w:rPr>
      </w:pPr>
      <w:r>
        <w:rPr>
          <w:b/>
          <w:bCs/>
          <w:sz w:val="26"/>
        </w:rPr>
        <w:t xml:space="preserve">BỘ TRƯỞNG BỘ TÀI CHÍNH </w:t>
      </w:r>
    </w:p>
    <w:p w:rsidR="00E46AA1" w:rsidRPr="00321B16" w:rsidRDefault="00E46AA1" w:rsidP="00E46AA1">
      <w:pPr>
        <w:spacing w:line="276" w:lineRule="auto"/>
        <w:ind w:firstLine="567"/>
        <w:jc w:val="center"/>
        <w:rPr>
          <w:b/>
          <w:bCs/>
          <w:sz w:val="8"/>
        </w:rPr>
      </w:pPr>
    </w:p>
    <w:p w:rsidR="00C524ED" w:rsidRDefault="00314B38">
      <w:pPr>
        <w:spacing w:before="120" w:after="120" w:line="276" w:lineRule="auto"/>
        <w:ind w:firstLine="709"/>
        <w:jc w:val="both"/>
        <w:rPr>
          <w:rFonts w:asciiTheme="majorHAnsi" w:hAnsiTheme="majorHAnsi" w:cstheme="majorHAnsi"/>
        </w:rPr>
      </w:pPr>
      <w:r w:rsidRPr="00314B38">
        <w:rPr>
          <w:rFonts w:asciiTheme="majorHAnsi" w:hAnsiTheme="majorHAnsi" w:cstheme="majorHAnsi"/>
          <w:spacing w:val="-4"/>
        </w:rPr>
        <w:t>Căn cứ Luật Giá ngày 20 tháng 6 năm 2012</w:t>
      </w:r>
      <w:r w:rsidRPr="00314B38">
        <w:rPr>
          <w:rFonts w:asciiTheme="majorHAnsi" w:hAnsiTheme="majorHAnsi" w:cstheme="majorHAnsi"/>
        </w:rPr>
        <w:t>;</w:t>
      </w:r>
    </w:p>
    <w:p w:rsidR="00C524ED" w:rsidRDefault="00314B38">
      <w:pPr>
        <w:spacing w:before="120" w:after="120" w:line="276" w:lineRule="auto"/>
        <w:ind w:firstLine="709"/>
        <w:jc w:val="both"/>
        <w:rPr>
          <w:rFonts w:asciiTheme="majorHAnsi" w:hAnsiTheme="majorHAnsi" w:cstheme="majorHAnsi"/>
        </w:rPr>
      </w:pPr>
      <w:r w:rsidRPr="00314B38">
        <w:rPr>
          <w:rFonts w:asciiTheme="majorHAnsi" w:hAnsiTheme="majorHAnsi" w:cstheme="majorHAnsi"/>
        </w:rPr>
        <w:t xml:space="preserve">Căn cứ Nghị định số 215/2013/NĐ-CP ngày 23 tháng 12 năm 2013 của Chính phủ </w:t>
      </w:r>
      <w:r w:rsidR="00B92E92">
        <w:rPr>
          <w:rFonts w:asciiTheme="majorHAnsi" w:hAnsiTheme="majorHAnsi" w:cstheme="majorHAnsi"/>
        </w:rPr>
        <w:t>q</w:t>
      </w:r>
      <w:r w:rsidR="00B92E92" w:rsidRPr="00314B38">
        <w:rPr>
          <w:rFonts w:asciiTheme="majorHAnsi" w:hAnsiTheme="majorHAnsi" w:cstheme="majorHAnsi"/>
        </w:rPr>
        <w:t xml:space="preserve">uy </w:t>
      </w:r>
      <w:r w:rsidRPr="00314B38">
        <w:rPr>
          <w:rFonts w:asciiTheme="majorHAnsi" w:hAnsiTheme="majorHAnsi" w:cstheme="majorHAnsi"/>
        </w:rPr>
        <w:t>định chức năng, nhiệm vụ, quyền hạn và cơ cấu tổ chức của Bộ Tài chính;</w:t>
      </w:r>
    </w:p>
    <w:p w:rsidR="00C524ED" w:rsidRDefault="00314B38">
      <w:pPr>
        <w:spacing w:before="120" w:after="120" w:line="276" w:lineRule="auto"/>
        <w:ind w:firstLine="709"/>
        <w:jc w:val="both"/>
        <w:rPr>
          <w:rFonts w:asciiTheme="majorHAnsi" w:hAnsiTheme="majorHAnsi" w:cstheme="majorHAnsi"/>
          <w:spacing w:val="-6"/>
        </w:rPr>
      </w:pPr>
      <w:r w:rsidRPr="00314B38">
        <w:rPr>
          <w:rFonts w:asciiTheme="majorHAnsi" w:hAnsiTheme="majorHAnsi" w:cstheme="majorHAnsi"/>
          <w:spacing w:val="-6"/>
        </w:rPr>
        <w:t>Xét đề nghị của Cục trưởng Cục Quản lý giá,</w:t>
      </w:r>
    </w:p>
    <w:p w:rsidR="00B92E92" w:rsidRDefault="00314B38">
      <w:pPr>
        <w:spacing w:before="120" w:after="120" w:line="276" w:lineRule="auto"/>
        <w:ind w:firstLine="709"/>
        <w:jc w:val="center"/>
        <w:rPr>
          <w:rFonts w:asciiTheme="majorHAnsi" w:hAnsiTheme="majorHAnsi" w:cstheme="majorHAnsi"/>
          <w:b/>
          <w:spacing w:val="-6"/>
        </w:rPr>
      </w:pPr>
      <w:r w:rsidRPr="00314B38">
        <w:rPr>
          <w:rFonts w:asciiTheme="majorHAnsi" w:hAnsiTheme="majorHAnsi" w:cstheme="majorHAnsi"/>
          <w:b/>
          <w:spacing w:val="-6"/>
        </w:rPr>
        <w:t xml:space="preserve">QUYẾT ĐỊNH: </w:t>
      </w:r>
    </w:p>
    <w:p w:rsidR="00C524ED" w:rsidRDefault="00314B38">
      <w:pPr>
        <w:spacing w:before="120" w:after="120" w:line="276" w:lineRule="auto"/>
        <w:ind w:firstLine="709"/>
        <w:jc w:val="both"/>
        <w:rPr>
          <w:rFonts w:asciiTheme="majorHAnsi" w:hAnsiTheme="majorHAnsi" w:cstheme="majorHAnsi"/>
        </w:rPr>
      </w:pPr>
      <w:r w:rsidRPr="00314B38">
        <w:rPr>
          <w:rFonts w:asciiTheme="majorHAnsi" w:hAnsiTheme="majorHAnsi" w:cstheme="majorHAnsi"/>
          <w:b/>
        </w:rPr>
        <w:t xml:space="preserve">Điều 1. </w:t>
      </w:r>
      <w:r w:rsidRPr="00314B38">
        <w:rPr>
          <w:rFonts w:asciiTheme="majorHAnsi" w:hAnsiTheme="majorHAnsi" w:cstheme="majorHAnsi"/>
        </w:rPr>
        <w:t>Phê duyệt Đề án</w:t>
      </w:r>
      <w:r w:rsidRPr="00314B38">
        <w:rPr>
          <w:rFonts w:asciiTheme="majorHAnsi" w:hAnsiTheme="majorHAnsi" w:cstheme="majorHAnsi"/>
          <w:b/>
        </w:rPr>
        <w:t xml:space="preserve"> </w:t>
      </w:r>
      <w:r w:rsidRPr="00314B38">
        <w:rPr>
          <w:rFonts w:asciiTheme="majorHAnsi" w:hAnsiTheme="majorHAnsi" w:cstheme="majorHAnsi"/>
        </w:rPr>
        <w:t xml:space="preserve">“Nâng cao năng lực hoạt động thẩm định giá của Việt Nam giai đoạn 2013-2020” với những nội dung chủ yếu sau đây: </w:t>
      </w:r>
    </w:p>
    <w:p w:rsidR="00B92E92" w:rsidRDefault="00314B38">
      <w:pPr>
        <w:pStyle w:val="Heading2"/>
        <w:numPr>
          <w:ilvl w:val="0"/>
          <w:numId w:val="45"/>
        </w:numPr>
        <w:tabs>
          <w:tab w:val="left" w:pos="993"/>
        </w:tabs>
        <w:spacing w:before="120" w:after="120" w:line="276" w:lineRule="auto"/>
        <w:ind w:left="0" w:firstLine="709"/>
        <w:jc w:val="left"/>
        <w:rPr>
          <w:rFonts w:asciiTheme="majorHAnsi" w:hAnsiTheme="majorHAnsi" w:cstheme="majorHAnsi"/>
          <w:sz w:val="28"/>
          <w:szCs w:val="28"/>
          <w:lang w:val="vi-VN"/>
        </w:rPr>
      </w:pPr>
      <w:r w:rsidRPr="00314B38">
        <w:rPr>
          <w:rFonts w:asciiTheme="majorHAnsi" w:hAnsiTheme="majorHAnsi" w:cstheme="majorHAnsi"/>
          <w:sz w:val="28"/>
          <w:szCs w:val="28"/>
        </w:rPr>
        <w:t>QUAN ĐIỂM ĐỊNH HƯỚNG</w:t>
      </w:r>
    </w:p>
    <w:p w:rsidR="00C524ED" w:rsidRDefault="00314B38">
      <w:pPr>
        <w:pStyle w:val="BodyText"/>
        <w:tabs>
          <w:tab w:val="left" w:pos="993"/>
        </w:tabs>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t>- Phát triển nghề thẩm định giá tài sản ở Việt Nam đảm bảo tuân thủ quy định của hệ thống pháp luật của Nhà nước, tạo môi trường pháp lý ổn định và thuận lợi để đưa nghề thẩm định giá tài sản thành một nghề có tính chuyên nghiệp cao.</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t>- Phát triển nghề thẩm định giá tài sản ở nước ta thành công cụ hữu hiệu giúp cho thị trường tài sản trở nên công khai, minh bạch; giúp cho việc quản lý và sử dụng hiệu quả các tài sản và các nguồn lực; giảm thiểu những rủi ro trong đầu tư; bảo đảm lợi ích hợp pháp và chính đáng của các bên tham gia thị trường thông qua việc xác định đúng giá trị của các tài sản.</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t xml:space="preserve">- Tăng cường vai trò quản lý nhà nước; sự quản lý, giám sát thống nhất của Bộ Tài chính trong lĩnh vực thẩm định giá tài sản; nâng cao vai trò của tổ chức nghề nghiệp về thẩm định giá; tôn trọng quyền tự chủ kinh doanh của doanh nghiệp, tôn trọng nguyên tắc độc lập, khách quan, trung thực trong hành nghề của thẩm định viên. </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lastRenderedPageBreak/>
        <w:t>- Phát triển nghề thẩm định giá tài sản ở nước ta phải đáp ứng yêu cầu hội nhập kinh tế quốc tế, phù hợp với các nguyên tắc, thông lệ quốc tế và điều kiện thực tiễn của Việt Nam. Hội nhập khu vực và quốc tế sâu hơn trong lĩnh vực thẩm định giá tài sản.</w:t>
      </w:r>
    </w:p>
    <w:p w:rsidR="00B92E92" w:rsidRDefault="00314B38">
      <w:pPr>
        <w:pStyle w:val="Heading2"/>
        <w:numPr>
          <w:ilvl w:val="0"/>
          <w:numId w:val="45"/>
        </w:numPr>
        <w:tabs>
          <w:tab w:val="left" w:pos="993"/>
        </w:tabs>
        <w:spacing w:before="120" w:after="120" w:line="276" w:lineRule="auto"/>
        <w:ind w:left="0" w:firstLine="709"/>
        <w:jc w:val="left"/>
        <w:rPr>
          <w:rFonts w:asciiTheme="majorHAnsi" w:hAnsiTheme="majorHAnsi" w:cstheme="majorHAnsi"/>
          <w:sz w:val="28"/>
          <w:szCs w:val="28"/>
        </w:rPr>
      </w:pPr>
      <w:r w:rsidRPr="00314B38">
        <w:rPr>
          <w:rFonts w:asciiTheme="majorHAnsi" w:hAnsiTheme="majorHAnsi" w:cstheme="majorHAnsi"/>
          <w:sz w:val="28"/>
          <w:szCs w:val="28"/>
        </w:rPr>
        <w:t>MỤC TIÊU</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t xml:space="preserve">- Xây dựng môi trường pháp lý ổn định và thống nhất trong lĩnh vực thẩm định giá; phát triển nghề thẩm định giá theo lộ trình phù hợp với nhu cầu của nền kinh tế và xã hội, bảo đảm quyền và lợi ích hợp pháp của các chủ thể tham gia nền kinh tế. </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t xml:space="preserve">- Tăng cường và nâng cao năng lực quản lý nhà nước về giá và thẩm định giá, tăng cường và củng cố cơ sở hạ tầng trong lĩnh vực thẩm định giá đáp ứng yêu cầu hội nhập kinh tế quốc tế. </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t>- Nâng cao năng lực hoạt động thẩm định giá phù hợp với yêu cầu của nền kinh tế trong nước và hội nhập quốc tế. Phấn đấu đến năm 2015, cả nước có khoảng 1400 thẩm định viên về giá; đến năm 2020, cả nước có khoảng 2200 thẩm định viên về giá; nhiều doanh nghiệp có quy mô lớn.</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szCs w:val="28"/>
          <w:lang w:val="it-IT"/>
        </w:rPr>
        <w:t>- Phát triển đội ngũ thẩm định viên về giá một cách đồng bộ và có hệ thống nhằm xây dựng đội ngũ nhân lực có kiến thức, kỹ năng và đạo đức nghề nghiệp; đạt được sự công nhận lẫn nhau giữa các nước trong khu vực và trên thế giới.</w:t>
      </w:r>
    </w:p>
    <w:p w:rsidR="00B92E92" w:rsidRDefault="00314B38">
      <w:pPr>
        <w:pStyle w:val="Heading2"/>
        <w:numPr>
          <w:ilvl w:val="0"/>
          <w:numId w:val="45"/>
        </w:numPr>
        <w:tabs>
          <w:tab w:val="left" w:pos="993"/>
        </w:tabs>
        <w:spacing w:before="120" w:after="120" w:line="276" w:lineRule="auto"/>
        <w:ind w:left="0" w:firstLine="709"/>
        <w:jc w:val="left"/>
        <w:rPr>
          <w:rFonts w:asciiTheme="majorHAnsi" w:hAnsiTheme="majorHAnsi" w:cstheme="majorHAnsi"/>
          <w:sz w:val="28"/>
          <w:szCs w:val="28"/>
          <w:lang w:val="it-IT"/>
        </w:rPr>
      </w:pPr>
      <w:r w:rsidRPr="00314B38">
        <w:rPr>
          <w:rFonts w:asciiTheme="majorHAnsi" w:hAnsiTheme="majorHAnsi" w:cstheme="majorHAnsi"/>
          <w:sz w:val="28"/>
          <w:szCs w:val="28"/>
          <w:lang w:val="it-IT"/>
        </w:rPr>
        <w:t>NỘI DUNG VÀ GIẢI PHÁP THỰC HIỆN</w:t>
      </w:r>
    </w:p>
    <w:p w:rsidR="00C524ED" w:rsidRDefault="00314B38">
      <w:pPr>
        <w:pStyle w:val="BodyText"/>
        <w:spacing w:before="120" w:after="120" w:line="276" w:lineRule="auto"/>
        <w:ind w:firstLine="709"/>
        <w:jc w:val="both"/>
        <w:rPr>
          <w:rFonts w:asciiTheme="majorHAnsi" w:hAnsiTheme="majorHAnsi" w:cstheme="majorHAnsi"/>
          <w:b/>
          <w:szCs w:val="28"/>
          <w:lang w:val="it-IT"/>
        </w:rPr>
      </w:pPr>
      <w:bookmarkStart w:id="0" w:name="_Toc373766243"/>
      <w:r w:rsidRPr="00314B38">
        <w:rPr>
          <w:rFonts w:asciiTheme="majorHAnsi" w:hAnsiTheme="majorHAnsi" w:cstheme="majorHAnsi"/>
          <w:b/>
          <w:szCs w:val="28"/>
          <w:lang w:val="it-IT"/>
        </w:rPr>
        <w:t>3.1. Tiếp tục hoàn thiện các văn bản quy phạm pháp luật về thẩm định giá một cách đồng bộ</w:t>
      </w:r>
      <w:bookmarkEnd w:id="0"/>
    </w:p>
    <w:p w:rsidR="00C524ED" w:rsidRDefault="00314B38">
      <w:pPr>
        <w:spacing w:before="120" w:after="120" w:line="276" w:lineRule="auto"/>
        <w:ind w:firstLine="720"/>
        <w:jc w:val="both"/>
        <w:rPr>
          <w:rFonts w:asciiTheme="majorHAnsi" w:hAnsiTheme="majorHAnsi" w:cstheme="majorHAnsi"/>
          <w:lang w:val="nl-NL"/>
        </w:rPr>
      </w:pPr>
      <w:r w:rsidRPr="00314B38">
        <w:rPr>
          <w:rFonts w:asciiTheme="majorHAnsi" w:hAnsiTheme="majorHAnsi" w:cstheme="majorHAnsi"/>
          <w:lang w:val="nl-NL"/>
        </w:rPr>
        <w:t xml:space="preserve">- Nghiên cứu xây dựng trình Bộ Tài chính ban hành theo thẩm quyền các Thông tư hướng dẫn, quy định cụ thể mới, sửa đổi và hoàn thiện các văn bản pháp quy hiện hành để hoàn thiện khuôn khổ pháp lý cho lĩnh vực thẩm định giá, cụ thể: (1). Nhóm quy định chung về hoạt động thẩm định giá, bao gồm: quản lý nhà nước trong lĩnh vực thẩm định giá đối với doanh nghiệp thẩm định giá, tổ chức nghề nghiệp về thẩm định giá theo quy định của pháp luật; quy định về kiểm soát chất lượng hoạt động thẩm định giá và việc chấp hành các quy định của Nhà nước về thẩm định giá; ...; (2). Nhóm quy định về điều kiện dự thi, việc tổ chức thi và điều kiện để cấp Thẻ thẩm định viên về giá; quản lý, cấp và thu hồi Thẻ thẩm định viên về giá; (3). Nhóm quy định về đào tạo, cấp chứng chỉ đào tạo nghiệp vụ thẩm định giá; bồi dưỡng kiến thức chuyên môn về thẩm định giá cho thẩm định viên về giá hành nghề; và (4). Nhóm quy định về Tiêu chuẩn thẩm định giá Việt Nam. </w:t>
      </w:r>
    </w:p>
    <w:p w:rsidR="00C524ED" w:rsidRDefault="00314B38">
      <w:pPr>
        <w:spacing w:before="120" w:after="120" w:line="276" w:lineRule="auto"/>
        <w:ind w:firstLine="720"/>
        <w:jc w:val="both"/>
        <w:rPr>
          <w:rFonts w:asciiTheme="majorHAnsi" w:hAnsiTheme="majorHAnsi" w:cstheme="majorHAnsi"/>
          <w:lang w:val="nl-NL"/>
        </w:rPr>
      </w:pPr>
      <w:r w:rsidRPr="00314B38">
        <w:rPr>
          <w:rFonts w:asciiTheme="majorHAnsi" w:hAnsiTheme="majorHAnsi" w:cstheme="majorHAnsi"/>
          <w:lang w:val="nl-NL"/>
        </w:rPr>
        <w:lastRenderedPageBreak/>
        <w:t xml:space="preserve">- Nghiên cứu cụ thể hóa các hành vi vi phạm trong hoạt động thẩm định giá và có chế tài xử lý phù hợp để xây dựng trình Bộ ban hành Thông tư hướng dẫn về xử phạt vi phạm hành chính trong lĩnh vực giá và thẩm định giá. </w:t>
      </w:r>
    </w:p>
    <w:p w:rsidR="00C524ED" w:rsidRDefault="00314B38">
      <w:pPr>
        <w:spacing w:before="120" w:after="120" w:line="276" w:lineRule="auto"/>
        <w:ind w:firstLine="709"/>
        <w:jc w:val="both"/>
        <w:rPr>
          <w:rFonts w:asciiTheme="majorHAnsi" w:hAnsiTheme="majorHAnsi" w:cstheme="majorHAnsi"/>
          <w:b/>
          <w:i/>
          <w:lang w:val="pt-BR"/>
        </w:rPr>
      </w:pPr>
      <w:r w:rsidRPr="00314B38">
        <w:rPr>
          <w:rFonts w:asciiTheme="majorHAnsi" w:hAnsiTheme="majorHAnsi" w:cstheme="majorHAnsi"/>
          <w:b/>
          <w:i/>
          <w:lang w:val="pt-BR"/>
        </w:rPr>
        <w:t>Các hoạt động cụ thể:</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ab/>
        <w:t xml:space="preserve">- Hoạt động 1: Xây dựng hệ thống các văn bản hướng dẫn Luật Giá trong lĩnh vực thẩm định giá và Nghị định số 89/2013/NĐ-CP ngày 06/8/2013 của Chính phủ Quy định chi tiết thi hành một số điều của Luật Giá về thẩm định giá, trong đó có (1) Thông tư Quy định chi tiết một số điều của Nghị định số 89/2013/NĐ-CP về thẩm định giá; (2) Thông tư Quy định chế độ thu, nộp, quản lý và sử dụng lệ phí cấp và cấp lại Giấy chứng nhận đủ điều kiện kinh doanh dịch vụ thẩm định giá; (3) Thông tư Quy định về việc thi, cấp, thu hồi Thẻ thẩm định viên về giá; (4) </w:t>
      </w:r>
      <w:r w:rsidRPr="00314B38">
        <w:rPr>
          <w:rFonts w:asciiTheme="majorHAnsi" w:hAnsiTheme="majorHAnsi" w:cstheme="majorHAnsi"/>
          <w:color w:val="000000"/>
          <w:lang w:val="vi-VN" w:eastAsia="vi-VN"/>
        </w:rPr>
        <w:t xml:space="preserve">Thông tư </w:t>
      </w:r>
      <w:r w:rsidRPr="00314B38">
        <w:rPr>
          <w:rFonts w:asciiTheme="majorHAnsi" w:hAnsiTheme="majorHAnsi" w:cstheme="majorHAnsi"/>
          <w:color w:val="000000"/>
          <w:lang w:val="pt-BR" w:eastAsia="vi-VN"/>
        </w:rPr>
        <w:t>Q</w:t>
      </w:r>
      <w:r w:rsidRPr="00314B38">
        <w:rPr>
          <w:rFonts w:asciiTheme="majorHAnsi" w:hAnsiTheme="majorHAnsi" w:cstheme="majorHAnsi"/>
          <w:color w:val="000000"/>
          <w:lang w:val="vi-VN" w:eastAsia="vi-VN"/>
        </w:rPr>
        <w:t>uy định</w:t>
      </w:r>
      <w:r w:rsidRPr="00314B38">
        <w:rPr>
          <w:rFonts w:asciiTheme="majorHAnsi" w:hAnsiTheme="majorHAnsi" w:cstheme="majorHAnsi"/>
          <w:color w:val="000000"/>
          <w:lang w:val="sq-AL" w:eastAsia="vi-VN"/>
        </w:rPr>
        <w:t xml:space="preserve"> về đào tạo nghiệp vụ và bồi dưỡng kiến thức về thẩm định giá; (5) </w:t>
      </w:r>
      <w:r w:rsidRPr="00314B38">
        <w:rPr>
          <w:rFonts w:asciiTheme="majorHAnsi" w:hAnsiTheme="majorHAnsi" w:cstheme="majorHAnsi"/>
          <w:lang w:val="nl-NL"/>
        </w:rPr>
        <w:t>Thông tư hướng dẫn về xử phạt vi phạm hành chính trong lĩnh vực giá và thẩm định giá.</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ab/>
        <w:t xml:space="preserve">Tiến độ: Khởi động xây dựng từ Quý IV năm 2013, hoàn thành Quý II năm 2014 và sửa đổi, bổ sung khi cần thiết.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ab/>
        <w:t xml:space="preserve">Cơ quan thực hiện: Cục Quản lý giá chủ trì soạn thảo và phối hợp với các đơn vị liên quan, các tổ chức tư vấn nước ngoài (nếu có). Riêng đối với Thông tư Quy định chế độ thu, nộp, quản lý và sử dụng lệ phí cấp và cấp lại Giấy chứng nhận đủ điều kiện kinh doanh dịch vụ thẩm định giá; Cục Quản lý giá phối hợp với Vụ Chính sách thuế soạn thảo, trình ký ban hành.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Hoạt động 2: Xây dựng và hoàn thiện hệ thống các tiêu chuẩn về thẩm định giá</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Tiến độ: Ban hành Thông tư về tiêu chuẩn thẩm định giá tài sản vô hình, </w:t>
      </w:r>
      <w:r w:rsidR="00770AAD">
        <w:rPr>
          <w:rFonts w:asciiTheme="majorHAnsi" w:hAnsiTheme="majorHAnsi" w:cstheme="majorHAnsi"/>
          <w:lang w:val="pt-BR"/>
        </w:rPr>
        <w:t>(đã</w:t>
      </w:r>
      <w:r w:rsidRPr="00314B38">
        <w:rPr>
          <w:rFonts w:asciiTheme="majorHAnsi" w:hAnsiTheme="majorHAnsi" w:cstheme="majorHAnsi"/>
          <w:lang w:val="pt-BR"/>
        </w:rPr>
        <w:t xml:space="preserve"> hoàn thành Quý I năm 2014</w:t>
      </w:r>
      <w:r w:rsidR="00770AAD">
        <w:rPr>
          <w:rFonts w:asciiTheme="majorHAnsi" w:hAnsiTheme="majorHAnsi" w:cstheme="majorHAnsi"/>
          <w:lang w:val="pt-BR"/>
        </w:rPr>
        <w:t>)</w:t>
      </w:r>
      <w:r w:rsidRPr="00314B38">
        <w:rPr>
          <w:rFonts w:asciiTheme="majorHAnsi" w:hAnsiTheme="majorHAnsi" w:cstheme="majorHAnsi"/>
          <w:lang w:val="pt-BR"/>
        </w:rPr>
        <w:t xml:space="preserve">. Từ năm 2014, thực hiện bổ sung, sửa đổi, thay thế đối với 12 tiêu chuẩn thẩm định giá Việt Nam đã được Bộ Tài chính ban hành trước khi có Luật Giá; tiếp tục nghiên cứu, xây dựng, cập nhật và ban hành các thông tư hướng dẫn các tiêu chuẩn thẩm định giá khác phù hợp với thông lệ quốc tế và tình hình thực tế Việt Nam. </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pt-BR"/>
        </w:rPr>
        <w:t>Cơ quan thực hiện: Cục Quản lý giá chủ trì, phối hợp với các đơn vị liên quan khác.</w:t>
      </w:r>
    </w:p>
    <w:p w:rsidR="00C524ED" w:rsidRDefault="00314B38">
      <w:pPr>
        <w:pStyle w:val="BodyText"/>
        <w:spacing w:before="120" w:after="120" w:line="276" w:lineRule="auto"/>
        <w:ind w:firstLine="709"/>
        <w:jc w:val="both"/>
        <w:rPr>
          <w:rFonts w:asciiTheme="majorHAnsi" w:hAnsiTheme="majorHAnsi" w:cstheme="majorHAnsi"/>
          <w:b/>
          <w:szCs w:val="28"/>
          <w:lang w:val="it-IT"/>
        </w:rPr>
      </w:pPr>
      <w:bookmarkStart w:id="1" w:name="_Toc373766244"/>
      <w:r w:rsidRPr="00314B38">
        <w:rPr>
          <w:rFonts w:asciiTheme="majorHAnsi" w:hAnsiTheme="majorHAnsi" w:cstheme="majorHAnsi"/>
          <w:b/>
          <w:szCs w:val="28"/>
          <w:lang w:val="it-IT"/>
        </w:rPr>
        <w:t>3.2. Nâng cao năng lực cho cán bộ, công chức quản lý nhà nước về giá và thẩm định giá</w:t>
      </w:r>
      <w:bookmarkEnd w:id="1"/>
      <w:r w:rsidR="00770AAD">
        <w:rPr>
          <w:rFonts w:asciiTheme="majorHAnsi" w:hAnsiTheme="majorHAnsi" w:cstheme="majorHAnsi"/>
          <w:b/>
          <w:szCs w:val="28"/>
          <w:lang w:val="it-IT"/>
        </w:rPr>
        <w:t xml:space="preserve"> </w:t>
      </w:r>
      <w:r w:rsidRPr="00314B38">
        <w:rPr>
          <w:rFonts w:asciiTheme="majorHAnsi" w:hAnsiTheme="majorHAnsi" w:cstheme="majorHAnsi"/>
          <w:b/>
          <w:szCs w:val="28"/>
          <w:lang w:val="pt-BR"/>
        </w:rPr>
        <w:t>đáp ứng nhu cầu trước mắt theo quy định tại Điều 5 Nghị định số 89/2013/NĐ-CP</w:t>
      </w:r>
    </w:p>
    <w:p w:rsidR="00C524ED" w:rsidRDefault="00314B38">
      <w:pPr>
        <w:pStyle w:val="BodyText"/>
        <w:spacing w:before="120" w:after="120" w:line="276" w:lineRule="auto"/>
        <w:ind w:firstLine="709"/>
        <w:jc w:val="both"/>
        <w:rPr>
          <w:rFonts w:asciiTheme="majorHAnsi" w:hAnsiTheme="majorHAnsi" w:cstheme="majorHAnsi"/>
          <w:szCs w:val="28"/>
          <w:lang w:val="nl-NL" w:bidi="th-TH"/>
        </w:rPr>
      </w:pPr>
      <w:r w:rsidRPr="00314B38">
        <w:rPr>
          <w:rFonts w:asciiTheme="majorHAnsi" w:hAnsiTheme="majorHAnsi" w:cstheme="majorHAnsi"/>
          <w:szCs w:val="28"/>
          <w:lang w:val="nl-NL" w:bidi="th-TH"/>
        </w:rPr>
        <w:t xml:space="preserve">- Xây dựng đội ngũ cán bộ, công chức </w:t>
      </w:r>
      <w:r w:rsidRPr="00314B38">
        <w:rPr>
          <w:rFonts w:asciiTheme="majorHAnsi" w:hAnsiTheme="majorHAnsi" w:cstheme="majorHAnsi"/>
          <w:szCs w:val="28"/>
          <w:lang w:val="nl-NL"/>
        </w:rPr>
        <w:t>tại Cục Quản lý giá và các Sở Tài chính cấp tỉnh, Phòng Tài chính cấp huyện</w:t>
      </w:r>
      <w:r w:rsidRPr="00314B38">
        <w:rPr>
          <w:rFonts w:asciiTheme="majorHAnsi" w:hAnsiTheme="majorHAnsi" w:cstheme="majorHAnsi"/>
          <w:szCs w:val="28"/>
          <w:lang w:val="nl-NL" w:bidi="th-TH"/>
        </w:rPr>
        <w:t xml:space="preserve"> đảm bảo về số lượng và chất lượng nhằm đáp ứng yêu cầu </w:t>
      </w:r>
      <w:r w:rsidRPr="00314B38">
        <w:rPr>
          <w:rFonts w:asciiTheme="majorHAnsi" w:hAnsiTheme="majorHAnsi" w:cstheme="majorHAnsi"/>
          <w:szCs w:val="28"/>
          <w:lang w:val="nl-NL"/>
        </w:rPr>
        <w:t>quản lý nhà nước trong lĩnh vực giá và thẩm định giá; đồng thời thực hiện chức năng</w:t>
      </w:r>
      <w:r w:rsidRPr="00314B38">
        <w:rPr>
          <w:rFonts w:asciiTheme="majorHAnsi" w:hAnsiTheme="majorHAnsi" w:cstheme="majorHAnsi"/>
          <w:szCs w:val="28"/>
          <w:lang w:val="nl-NL" w:bidi="th-TH"/>
        </w:rPr>
        <w:t xml:space="preserve"> thẩm định giá đối với các loại tài sản nhà nước theo quy định của pháp luật về giá.</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 Nâng cao năng lực quản lý, trình độ chuyên môn, nghiệp vụ cho đội ngũ cán bộ, công chức làm công tác quản lý nhà nước về giá và thẩm định giá thông qua tổ chức các lớp bồi dưỡng kiến thức, nghiệp vụ về thẩm định giá; cử cán bộ đi học tập, đào tạo bậc đại học, trên đại học trong và ngoài nước theo các chương trình học bổng của Nhà nước và nước ngoài tài trợ; tổ chức đoàn khảo sát, học tập kinh nghiệm nước ngoài về quản lý giá và thẩm định giá.</w:t>
      </w:r>
    </w:p>
    <w:p w:rsidR="00C524ED" w:rsidRDefault="00314B38">
      <w:pPr>
        <w:spacing w:before="120" w:after="120" w:line="276" w:lineRule="auto"/>
        <w:ind w:firstLine="709"/>
        <w:jc w:val="both"/>
        <w:rPr>
          <w:rFonts w:asciiTheme="majorHAnsi" w:hAnsiTheme="majorHAnsi" w:cstheme="majorHAnsi"/>
          <w:b/>
          <w:i/>
          <w:lang w:val="pt-BR"/>
        </w:rPr>
      </w:pPr>
      <w:r w:rsidRPr="00314B38">
        <w:rPr>
          <w:rFonts w:asciiTheme="majorHAnsi" w:hAnsiTheme="majorHAnsi" w:cstheme="majorHAnsi"/>
          <w:b/>
          <w:i/>
          <w:lang w:val="pt-BR"/>
        </w:rPr>
        <w:t>Các hoạt động cụ thể:</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Hoạt động 1: Biên soạn, thẩm định, trình Bộ Tài chính phê duyệt tài liệu bồi dưỡng; tổ chức in ấn, phát hành tài liệu phục vụ bồi dưỡng, nâng cao năng lực quản lý, trình độ chuyên môn, nghiệp vụ cho các cán bộ, công chức làm công tác quản lý nhà nước về thẩm định giá thuộc ngành tài chính ở trung ương và địa phương.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Tiến độ: Khởi động biên soạn tài liệu bồi dưỡng từ Quý I năm 2014, biên soạn tài liệu cập nhật hàng năm.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Cơ quan thực hiện: Cục Quản lý giá chủ trì, phối hợp với các đơn vị liên quan.</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Hoạt động 2: Nâng cao năng lực cho cán bộ, công chức quản lý nhà nước về giá và thẩm định giá thuộc ngành tài chính ở trung ương và địa phương đáp ứng yêu cầu công tác thẩm định giá của Nhà nước theo Luật Giá.</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Nội dung: </w:t>
      </w:r>
    </w:p>
    <w:p w:rsidR="00C524ED" w:rsidRDefault="00314B38">
      <w:pPr>
        <w:spacing w:before="120" w:after="120" w:line="276" w:lineRule="auto"/>
        <w:ind w:firstLine="709"/>
        <w:jc w:val="both"/>
        <w:rPr>
          <w:rFonts w:asciiTheme="majorHAnsi" w:hAnsiTheme="majorHAnsi" w:cstheme="majorHAnsi"/>
          <w:lang w:val="sv-SE"/>
        </w:rPr>
      </w:pPr>
      <w:r w:rsidRPr="00314B38">
        <w:rPr>
          <w:rFonts w:asciiTheme="majorHAnsi" w:hAnsiTheme="majorHAnsi" w:cstheme="majorHAnsi"/>
          <w:lang w:val="pt-BR"/>
        </w:rPr>
        <w:t xml:space="preserve">+ </w:t>
      </w:r>
      <w:r w:rsidRPr="00314B38">
        <w:rPr>
          <w:rFonts w:asciiTheme="majorHAnsi" w:hAnsiTheme="majorHAnsi" w:cstheme="majorHAnsi"/>
          <w:lang w:val="sv-SE"/>
        </w:rPr>
        <w:t>Tổ chức các khoá bồi dưỡng, kiểm tra đánh giá kết quả và cấp Chứng chỉ của Bộ Tài chính về bồi dưỡng nghiệp vụ chuyên ngành thẩm định giá cho cán bộ, công chức theo quy định.</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Tổ chức bồi dưỡng, cập nhật kiến thức cho các cán bộ, công chức làm công tác quản lý giá và thẩm định giá.</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Tổ chức hội thảo, hội nghị trong nước; tổ chức đoàn khảo sát, học tập kinh nghiệm nước ngoài về quản lý giá và thẩm định giá.</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Tiến độ: Khởi động từ Quý I năm 2014 và tiếp tục thực hiện trong các năm tiếp theo.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Cơ quan thực hiện: Cục Quản lý giá.</w:t>
      </w:r>
    </w:p>
    <w:p w:rsidR="00C524ED" w:rsidRDefault="00314B38">
      <w:pPr>
        <w:pStyle w:val="BodyText"/>
        <w:spacing w:before="120" w:after="120" w:line="276" w:lineRule="auto"/>
        <w:ind w:firstLine="709"/>
        <w:jc w:val="both"/>
        <w:rPr>
          <w:rFonts w:asciiTheme="majorHAnsi" w:hAnsiTheme="majorHAnsi" w:cstheme="majorHAnsi"/>
          <w:b/>
          <w:szCs w:val="28"/>
          <w:lang w:val="it-IT"/>
        </w:rPr>
      </w:pPr>
      <w:r w:rsidRPr="00314B38">
        <w:rPr>
          <w:rFonts w:asciiTheme="majorHAnsi" w:hAnsiTheme="majorHAnsi" w:cstheme="majorHAnsi"/>
          <w:b/>
          <w:szCs w:val="28"/>
          <w:lang w:val="it-IT"/>
        </w:rPr>
        <w:t xml:space="preserve">3.3. </w:t>
      </w:r>
      <w:bookmarkStart w:id="2" w:name="_Toc373766247"/>
      <w:r w:rsidRPr="00314B38">
        <w:rPr>
          <w:rFonts w:asciiTheme="majorHAnsi" w:hAnsiTheme="majorHAnsi" w:cstheme="majorHAnsi"/>
          <w:b/>
          <w:szCs w:val="28"/>
          <w:lang w:val="it-IT"/>
        </w:rPr>
        <w:t>Phát triển đội ngũ thẩm định viên về giá và doanh nghiệp thẩm định giá</w:t>
      </w:r>
      <w:bookmarkEnd w:id="2"/>
    </w:p>
    <w:p w:rsidR="00C524ED" w:rsidRDefault="00314B38">
      <w:pPr>
        <w:pStyle w:val="BodyText"/>
        <w:spacing w:before="120" w:after="120" w:line="276" w:lineRule="auto"/>
        <w:ind w:firstLine="709"/>
        <w:jc w:val="both"/>
        <w:rPr>
          <w:rFonts w:asciiTheme="majorHAnsi" w:hAnsiTheme="majorHAnsi" w:cstheme="majorHAnsi"/>
          <w:b/>
          <w:szCs w:val="28"/>
          <w:lang w:val="it-IT"/>
        </w:rPr>
      </w:pPr>
      <w:r w:rsidRPr="00314B38">
        <w:rPr>
          <w:rFonts w:asciiTheme="majorHAnsi" w:hAnsiTheme="majorHAnsi" w:cstheme="majorHAnsi"/>
          <w:szCs w:val="28"/>
          <w:lang w:val="pt-BR"/>
        </w:rPr>
        <w:t xml:space="preserve">- Giai đoạn 2013-2015: Dự kiến cả nước có khoảng 1.400 thẩm định viên về giá đủ điều kiện hành nghề theo quy định. </w:t>
      </w:r>
      <w:r w:rsidR="00770AAD">
        <w:rPr>
          <w:rFonts w:asciiTheme="majorHAnsi" w:hAnsiTheme="majorHAnsi" w:cstheme="majorHAnsi"/>
          <w:szCs w:val="28"/>
          <w:lang w:val="pt-BR"/>
        </w:rPr>
        <w:t xml:space="preserve">Khuyến khích các </w:t>
      </w:r>
      <w:r w:rsidRPr="00314B38">
        <w:rPr>
          <w:rFonts w:asciiTheme="majorHAnsi" w:hAnsiTheme="majorHAnsi" w:cstheme="majorHAnsi"/>
          <w:szCs w:val="28"/>
          <w:lang w:val="pt-BR"/>
        </w:rPr>
        <w:t>doanh nghiệp phát triển theo quy mô lớn, nâng cao uy tín, cạnh tranh về chất lượng dịch vụ thẩm định giá.</w:t>
      </w:r>
    </w:p>
    <w:p w:rsidR="00C524ED" w:rsidRDefault="00314B38">
      <w:pPr>
        <w:pStyle w:val="BodyText"/>
        <w:spacing w:before="120" w:after="120" w:line="276" w:lineRule="auto"/>
        <w:ind w:firstLine="709"/>
        <w:jc w:val="both"/>
        <w:rPr>
          <w:rFonts w:asciiTheme="majorHAnsi" w:hAnsiTheme="majorHAnsi" w:cstheme="majorHAnsi"/>
          <w:szCs w:val="28"/>
          <w:lang w:val="pt-BR"/>
        </w:rPr>
      </w:pPr>
      <w:r w:rsidRPr="00314B38">
        <w:rPr>
          <w:rFonts w:asciiTheme="majorHAnsi" w:hAnsiTheme="majorHAnsi" w:cstheme="majorHAnsi"/>
          <w:szCs w:val="28"/>
          <w:lang w:val="pt-BR"/>
        </w:rPr>
        <w:t xml:space="preserve">- Giai đoạn 2015-2020: Dự kiến cả nước có khoảng 2.200 thẩm định viên về giá đủ điều kiện hành nghề theo quy định. </w:t>
      </w:r>
      <w:r w:rsidR="00770AAD">
        <w:rPr>
          <w:rFonts w:asciiTheme="majorHAnsi" w:hAnsiTheme="majorHAnsi" w:cstheme="majorHAnsi"/>
          <w:szCs w:val="28"/>
          <w:lang w:val="pt-BR"/>
        </w:rPr>
        <w:t>H</w:t>
      </w:r>
      <w:r w:rsidRPr="00314B38">
        <w:rPr>
          <w:rFonts w:asciiTheme="majorHAnsi" w:hAnsiTheme="majorHAnsi" w:cstheme="majorHAnsi"/>
          <w:szCs w:val="28"/>
          <w:lang w:val="pt-BR"/>
        </w:rPr>
        <w:t>oạt động thẩm định giá cần đi vào chiều sâu, chất lượng và hiệu quả hơn; tiếp tục được ưu tiên phát triển theo hướng nâng cao năng lực và chất lượng thẩm định giá</w:t>
      </w:r>
      <w:r w:rsidR="00770AAD">
        <w:rPr>
          <w:rFonts w:asciiTheme="majorHAnsi" w:hAnsiTheme="majorHAnsi" w:cstheme="majorHAnsi"/>
          <w:szCs w:val="28"/>
          <w:lang w:val="pt-BR"/>
        </w:rPr>
        <w:t>. K</w:t>
      </w:r>
      <w:r w:rsidRPr="00314B38">
        <w:rPr>
          <w:rFonts w:asciiTheme="majorHAnsi" w:hAnsiTheme="majorHAnsi" w:cstheme="majorHAnsi"/>
          <w:szCs w:val="28"/>
          <w:lang w:val="pt-BR"/>
        </w:rPr>
        <w:t>huyến khích</w:t>
      </w:r>
      <w:r w:rsidR="00770AAD">
        <w:rPr>
          <w:rFonts w:asciiTheme="majorHAnsi" w:hAnsiTheme="majorHAnsi" w:cstheme="majorHAnsi"/>
          <w:szCs w:val="28"/>
          <w:lang w:val="pt-BR"/>
        </w:rPr>
        <w:t xml:space="preserve"> các doanh nghiệp thẩm định giá</w:t>
      </w:r>
      <w:r w:rsidRPr="00314B38">
        <w:rPr>
          <w:rFonts w:asciiTheme="majorHAnsi" w:hAnsiTheme="majorHAnsi" w:cstheme="majorHAnsi"/>
          <w:szCs w:val="28"/>
          <w:lang w:val="pt-BR"/>
        </w:rPr>
        <w:t xml:space="preserve"> mở rộng quy mô hoạt động, đặc biệt tại các vùng sâu, vùng xa và vươn sang các nước trong khu vực giúp nghề thẩm định giá phát triển bền vững.</w:t>
      </w:r>
    </w:p>
    <w:p w:rsidR="00C524ED" w:rsidRDefault="00314B38">
      <w:pPr>
        <w:spacing w:before="120" w:after="120" w:line="276" w:lineRule="auto"/>
        <w:ind w:firstLine="709"/>
        <w:jc w:val="both"/>
        <w:rPr>
          <w:rFonts w:asciiTheme="majorHAnsi" w:hAnsiTheme="majorHAnsi" w:cstheme="majorHAnsi"/>
          <w:b/>
          <w:i/>
          <w:lang w:val="pt-BR"/>
        </w:rPr>
      </w:pPr>
      <w:r w:rsidRPr="00314B38">
        <w:rPr>
          <w:rFonts w:asciiTheme="majorHAnsi" w:hAnsiTheme="majorHAnsi" w:cstheme="majorHAnsi"/>
          <w:b/>
          <w:i/>
          <w:lang w:val="pt-BR"/>
        </w:rPr>
        <w:t>Các hoạt động cụ thể:</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Hoạt động 1: Bồi dưỡng, cấp Chứng chỉ bồi dưỡng nghiệp vụ chuyên ngành thẩm giá.</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Nội dung: Mở các khoá bồi dưỡng theo quy định và cấp Chứng chỉ bồi dưỡng nghiệp vụ chuyên ngành thẩm giá.</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Tiến độ: Khởi động từ Quý I năm 2014 và thực hiện hàng năm.</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Cơ quan thực hiện: Cục Quản lý giá và các cơ sở đào tạo có đủ điều kiện đào tạo chuyên ngành thẩm định giá theo quy định của Bộ Tài chính.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Hoạt động 2: Bồi dưỡng kiến thức chuyên môn về thẩm định giá cho đội ngũ thẩm định viên về giá.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Nội dung: Mở các khoá bồi dưỡng theo quy định cho các thẩm định viên đã được cấp thẻ thẩm định viên về giá.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Tiến độ: Khởi động từ Quý IV năm 2014 và thực hiện hàng năm.</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Cơ quan thực hiện: Cục Quản lý giá và các cơ sở đào tạo có đủ điều kiện đào tạo chuyên ngành thẩm định giá theo quy định của Bộ Tài chính.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Hoạt động 3: Xây dựng ngân hàng đề thi phục vụ cho việc tổ chức các kỳ thi Thẩm định viên về giá của Bộ Tài chính.</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Tiến độ: Tổ chức xây dựng ngân hàng đề thi phục vụ cho kỳ thi Thẩm định viên về giá- Khởi động Quý IV năm 2014, hoàn thành Quý I năm 2015 và cập nhật hàng năm.</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ab/>
        <w:t xml:space="preserve">Cơ quan thực hiện: Cục Quản lý giá chủ trì, phối hợp với các trường đại học, cao đẳng thuộc Bộ Tài chính có chuyên ngành thẩm định giá và các đơn vị liên quan khác.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Hoạt động 4: Đào tạo và cập nhật kiến thức cho đội ngũ giảng viên về thẩm định giá thuộc các trường đại học, cao đẳng thuộc Bộ Tài chính.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Nội dung: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Mở các khoá đào tạo cho giảng viên của các trường đại học, cao đẳng thuộc Bộ Tài chính có đào tạo chuyên ngành thẩm định giá; các khoá bồi dưỡng ngắn hạn để cập nhật kịp thời kiến thức, tình hình về thẩm định giá trong khu vực và thế giới.</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Tổ chức hội thảo quốc tế về thẩm định giá tại Việt Nam.</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Tiến độ: Khởi động từ Quý I năm 2014 và tổ chức thường xuyên qua các năm.</w:t>
      </w:r>
    </w:p>
    <w:p w:rsidR="00C524ED" w:rsidRDefault="00314B38">
      <w:pPr>
        <w:pStyle w:val="BodyText"/>
        <w:spacing w:before="120" w:after="120" w:line="276" w:lineRule="auto"/>
        <w:ind w:firstLine="709"/>
        <w:jc w:val="both"/>
        <w:rPr>
          <w:rFonts w:asciiTheme="majorHAnsi" w:hAnsiTheme="majorHAnsi" w:cstheme="majorHAnsi"/>
          <w:szCs w:val="28"/>
          <w:lang w:val="pt-BR"/>
        </w:rPr>
      </w:pPr>
      <w:r w:rsidRPr="00314B38">
        <w:rPr>
          <w:rFonts w:asciiTheme="majorHAnsi" w:hAnsiTheme="majorHAnsi" w:cstheme="majorHAnsi"/>
          <w:szCs w:val="28"/>
          <w:lang w:val="pt-BR"/>
        </w:rPr>
        <w:t>Cơ quan thực hiện: Các trường đại học, cao đẳng thuộc Bộ Tài chính có đào tạo chuyên ngành thẩm định giá chủ trì, phối hợp với Cục Quản lý giá.</w:t>
      </w:r>
    </w:p>
    <w:p w:rsidR="00C524ED" w:rsidRDefault="00314B38">
      <w:pPr>
        <w:pStyle w:val="BodyText"/>
        <w:spacing w:before="120" w:after="120" w:line="276" w:lineRule="auto"/>
        <w:ind w:firstLine="709"/>
        <w:jc w:val="both"/>
        <w:rPr>
          <w:rFonts w:asciiTheme="majorHAnsi" w:hAnsiTheme="majorHAnsi" w:cstheme="majorHAnsi"/>
          <w:b/>
          <w:szCs w:val="28"/>
          <w:lang w:val="it-IT"/>
        </w:rPr>
      </w:pPr>
      <w:bookmarkStart w:id="3" w:name="_Toc373766248"/>
      <w:r w:rsidRPr="00314B38">
        <w:rPr>
          <w:rFonts w:asciiTheme="majorHAnsi" w:hAnsiTheme="majorHAnsi" w:cstheme="majorHAnsi"/>
          <w:b/>
          <w:szCs w:val="28"/>
          <w:lang w:val="it-IT"/>
        </w:rPr>
        <w:t>3.4. Chuẩn hóa</w:t>
      </w:r>
      <w:r w:rsidR="00770AAD">
        <w:rPr>
          <w:rFonts w:asciiTheme="majorHAnsi" w:hAnsiTheme="majorHAnsi" w:cstheme="majorHAnsi"/>
          <w:b/>
          <w:szCs w:val="28"/>
          <w:lang w:val="it-IT"/>
        </w:rPr>
        <w:t xml:space="preserve"> 4 bộ</w:t>
      </w:r>
      <w:r w:rsidRPr="00314B38">
        <w:rPr>
          <w:rFonts w:asciiTheme="majorHAnsi" w:hAnsiTheme="majorHAnsi" w:cstheme="majorHAnsi"/>
          <w:b/>
          <w:szCs w:val="28"/>
          <w:lang w:val="it-IT"/>
        </w:rPr>
        <w:t xml:space="preserve"> tài liệu đào tạo, bồi dưỡng nghiệp vụ thẩm định giá</w:t>
      </w:r>
      <w:bookmarkEnd w:id="3"/>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Biên soạn các tài liệu đào tạo, bồi dưỡng nghiệp vụ thẩm định giá tương ứng với các khóa đào tạo, bồi dưỡng theo quy định. </w:t>
      </w:r>
    </w:p>
    <w:p w:rsidR="00C524ED" w:rsidRDefault="00314B38">
      <w:pPr>
        <w:spacing w:before="120" w:after="120" w:line="276" w:lineRule="auto"/>
        <w:ind w:firstLine="709"/>
        <w:jc w:val="both"/>
        <w:rPr>
          <w:rFonts w:asciiTheme="majorHAnsi" w:hAnsiTheme="majorHAnsi" w:cstheme="majorHAnsi"/>
          <w:b/>
          <w:i/>
          <w:lang w:val="pt-BR"/>
        </w:rPr>
      </w:pPr>
      <w:r w:rsidRPr="00314B38">
        <w:rPr>
          <w:rFonts w:asciiTheme="majorHAnsi" w:hAnsiTheme="majorHAnsi" w:cstheme="majorHAnsi"/>
          <w:b/>
          <w:i/>
          <w:lang w:val="pt-BR"/>
        </w:rPr>
        <w:t>Các hoạt động cụ thể:</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w:t>
      </w:r>
      <w:r w:rsidRPr="00314B38">
        <w:rPr>
          <w:rFonts w:asciiTheme="majorHAnsi" w:hAnsiTheme="majorHAnsi" w:cstheme="majorHAnsi"/>
          <w:lang w:val="nl-NL"/>
        </w:rPr>
        <w:t xml:space="preserve">Hoạt động 1: </w:t>
      </w:r>
      <w:r w:rsidRPr="00314B38">
        <w:rPr>
          <w:rFonts w:asciiTheme="majorHAnsi" w:hAnsiTheme="majorHAnsi" w:cstheme="majorHAnsi"/>
          <w:lang w:val="pt-BR"/>
        </w:rPr>
        <w:t xml:space="preserve">Biên soạn tài liệu phục vụ bồi dưỡng kiến thức để cấp </w:t>
      </w:r>
      <w:r w:rsidRPr="00314B38">
        <w:rPr>
          <w:rStyle w:val="st1"/>
          <w:rFonts w:asciiTheme="majorHAnsi" w:hAnsiTheme="majorHAnsi" w:cstheme="majorHAnsi"/>
          <w:bCs/>
          <w:lang w:val="pt-BR"/>
        </w:rPr>
        <w:t>chứng chỉ bồi dưỡng</w:t>
      </w:r>
      <w:r w:rsidRPr="00314B38">
        <w:rPr>
          <w:rStyle w:val="st1"/>
          <w:rFonts w:asciiTheme="majorHAnsi" w:hAnsiTheme="majorHAnsi" w:cstheme="majorHAnsi"/>
          <w:lang w:val="pt-BR"/>
        </w:rPr>
        <w:t xml:space="preserve"> nghiệp vụ chuyên ngành </w:t>
      </w:r>
      <w:r w:rsidRPr="00314B38">
        <w:rPr>
          <w:rStyle w:val="st1"/>
          <w:rFonts w:asciiTheme="majorHAnsi" w:hAnsiTheme="majorHAnsi" w:cstheme="majorHAnsi"/>
          <w:bCs/>
          <w:lang w:val="pt-BR"/>
        </w:rPr>
        <w:t>thẩm định giá</w:t>
      </w:r>
      <w:r w:rsidRPr="00314B38">
        <w:rPr>
          <w:rStyle w:val="st1"/>
          <w:rFonts w:asciiTheme="majorHAnsi" w:hAnsiTheme="majorHAnsi" w:cstheme="majorHAnsi"/>
          <w:lang w:val="pt-BR"/>
        </w:rPr>
        <w:t xml:space="preserve"> (một trong các </w:t>
      </w:r>
      <w:r w:rsidRPr="00314B38">
        <w:rPr>
          <w:rFonts w:asciiTheme="majorHAnsi" w:hAnsiTheme="majorHAnsi" w:cstheme="majorHAnsi"/>
          <w:lang w:val="pt-BR"/>
        </w:rPr>
        <w:t>điều kiện dự thi cấp Thẻ thẩm định viên về giá).</w:t>
      </w:r>
    </w:p>
    <w:p w:rsidR="00C524ED" w:rsidRDefault="00314B38">
      <w:pPr>
        <w:spacing w:before="120" w:after="120" w:line="276" w:lineRule="auto"/>
        <w:ind w:firstLine="709"/>
        <w:jc w:val="both"/>
        <w:rPr>
          <w:rStyle w:val="st1"/>
          <w:rFonts w:asciiTheme="majorHAnsi" w:hAnsiTheme="majorHAnsi" w:cstheme="majorHAnsi"/>
          <w:bCs/>
          <w:lang w:val="pt-BR"/>
        </w:rPr>
      </w:pPr>
      <w:r w:rsidRPr="00314B38">
        <w:rPr>
          <w:rFonts w:asciiTheme="majorHAnsi" w:hAnsiTheme="majorHAnsi" w:cstheme="majorHAnsi"/>
          <w:lang w:val="nl-NL"/>
        </w:rPr>
        <w:t xml:space="preserve">Tiến độ: Khởi động từ Quý II năm 2014, hoàn thành vào Quý I năm 2015 và sửa đổi, bổ sung khi cần thiết. </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Cơ quan thực hiện: Cục Quản lý giá chủ trì, phối hợp với các trường </w:t>
      </w:r>
      <w:r w:rsidRPr="00314B38">
        <w:rPr>
          <w:rFonts w:asciiTheme="majorHAnsi" w:hAnsiTheme="majorHAnsi" w:cstheme="majorHAnsi"/>
          <w:lang w:val="pt-BR"/>
        </w:rPr>
        <w:t>đại học, cao đẳng thuộc Bộ Tài chính</w:t>
      </w:r>
      <w:r w:rsidRPr="00314B38">
        <w:rPr>
          <w:rFonts w:asciiTheme="majorHAnsi" w:hAnsiTheme="majorHAnsi" w:cstheme="majorHAnsi"/>
          <w:lang w:val="nl-NL"/>
        </w:rPr>
        <w:t>, Hội Thẩm định giá Việt Nam và các đơn vị liên quan khác.</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Hoạt động 2: Biên soạn tài liệu bồi dưỡng kiến thức chuyên môn về thẩm định giá hàng năm cho thẩm định viên về giá hành nghề.</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Tiến độ: Khởi động từ Quý I năm 2015 và n</w:t>
      </w:r>
      <w:r w:rsidRPr="00314B38">
        <w:rPr>
          <w:rStyle w:val="st1"/>
          <w:rFonts w:asciiTheme="majorHAnsi" w:hAnsiTheme="majorHAnsi" w:cstheme="majorHAnsi"/>
          <w:bCs/>
          <w:lang w:val="pt-BR"/>
        </w:rPr>
        <w:t xml:space="preserve">ghiên cứu, biên soạn </w:t>
      </w:r>
      <w:r w:rsidRPr="00314B38">
        <w:rPr>
          <w:rFonts w:asciiTheme="majorHAnsi" w:hAnsiTheme="majorHAnsi" w:cstheme="majorHAnsi"/>
          <w:lang w:val="pt-BR"/>
        </w:rPr>
        <w:t xml:space="preserve">hàng năm. </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Cơ quan thực hiện: Cục Quản lý giá chủ trì, phối hợp với các trường </w:t>
      </w:r>
      <w:r w:rsidRPr="00314B38">
        <w:rPr>
          <w:rFonts w:asciiTheme="majorHAnsi" w:hAnsiTheme="majorHAnsi" w:cstheme="majorHAnsi"/>
          <w:lang w:val="pt-BR"/>
        </w:rPr>
        <w:t>đại học, cao đẳng thuộc Bộ Tài chính</w:t>
      </w:r>
      <w:r w:rsidRPr="00314B38">
        <w:rPr>
          <w:rFonts w:asciiTheme="majorHAnsi" w:hAnsiTheme="majorHAnsi" w:cstheme="majorHAnsi"/>
          <w:lang w:val="nl-NL"/>
        </w:rPr>
        <w:t>, Hội Thẩm định giá Việt Nam và các đơn vị liên quan khác.</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w:t>
      </w:r>
      <w:r w:rsidRPr="00314B38">
        <w:rPr>
          <w:rFonts w:asciiTheme="majorHAnsi" w:hAnsiTheme="majorHAnsi" w:cstheme="majorHAnsi"/>
          <w:lang w:val="nl-NL"/>
        </w:rPr>
        <w:t xml:space="preserve">Hoạt động 3: </w:t>
      </w:r>
      <w:r w:rsidRPr="00314B38">
        <w:rPr>
          <w:rFonts w:asciiTheme="majorHAnsi" w:hAnsiTheme="majorHAnsi" w:cstheme="majorHAnsi"/>
          <w:lang w:val="pt-BR"/>
        </w:rPr>
        <w:t>Biên soạn tài liệu bồi dưỡng, nâng cao năng lực quản lý, trình độ chuyên môn, nghiệp vụ cho các cán bộ, công chức làm công tác quản lý nhà nước về giá và thẩm định giá và các đối tượng cán bộ, công chức của các cơ quan, đơn vị khác khi có nhu cầu.</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Tiến độ: Khởi động biên soạn tài liệu vào Quý IV năm 2014, phát hành tài liệu và đưa vào đào tạo từ Quý I năm 2015.</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Cơ quan thực hiện: Cục Quản lý giá chủ trì, phối hợp với các trường </w:t>
      </w:r>
      <w:r w:rsidRPr="00314B38">
        <w:rPr>
          <w:rFonts w:asciiTheme="majorHAnsi" w:hAnsiTheme="majorHAnsi" w:cstheme="majorHAnsi"/>
          <w:lang w:val="pt-BR"/>
        </w:rPr>
        <w:t>đại học, cao đẳng thuộc Bộ Tài chính</w:t>
      </w:r>
      <w:r w:rsidRPr="00314B38">
        <w:rPr>
          <w:rFonts w:asciiTheme="majorHAnsi" w:hAnsiTheme="majorHAnsi" w:cstheme="majorHAnsi"/>
          <w:lang w:val="nl-NL"/>
        </w:rPr>
        <w:t xml:space="preserve"> và các đơn vị liên quan khác.</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 Hoạt động 4: </w:t>
      </w:r>
      <w:r w:rsidRPr="00314B38">
        <w:rPr>
          <w:rFonts w:asciiTheme="majorHAnsi" w:hAnsiTheme="majorHAnsi" w:cstheme="majorHAnsi"/>
          <w:lang w:val="pt-BR"/>
        </w:rPr>
        <w:t>Biên soạn tài liệu cập nhật kiến thức cho các cán bộ, công chức làm công tác quản lý nhà nước về thẩm định giá và các đối tượng khác có nhu cầu.</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nl-NL"/>
        </w:rPr>
        <w:t>Tiến độ: Khởi động từ Quý I năm 2016 và n</w:t>
      </w:r>
      <w:r w:rsidRPr="00314B38">
        <w:rPr>
          <w:rStyle w:val="st1"/>
          <w:rFonts w:asciiTheme="majorHAnsi" w:hAnsiTheme="majorHAnsi" w:cstheme="majorHAnsi"/>
          <w:bCs/>
          <w:lang w:val="pt-BR"/>
        </w:rPr>
        <w:t>ghiên cứu, biên soạn</w:t>
      </w:r>
      <w:r w:rsidRPr="00314B38">
        <w:rPr>
          <w:rFonts w:asciiTheme="majorHAnsi" w:hAnsiTheme="majorHAnsi" w:cstheme="majorHAnsi"/>
          <w:lang w:val="pt-BR"/>
        </w:rPr>
        <w:t xml:space="preserve"> cập nhật theo thực tế.</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Cơ quan thực hiện: Cục Quản lý giá chủ trì, phối hợp với các trường </w:t>
      </w:r>
      <w:r w:rsidRPr="00314B38">
        <w:rPr>
          <w:rFonts w:asciiTheme="majorHAnsi" w:hAnsiTheme="majorHAnsi" w:cstheme="majorHAnsi"/>
          <w:lang w:val="pt-BR"/>
        </w:rPr>
        <w:t>đại học, cao đẳng thuộc Bộ Tài chính</w:t>
      </w:r>
      <w:r w:rsidRPr="00314B38">
        <w:rPr>
          <w:rFonts w:asciiTheme="majorHAnsi" w:hAnsiTheme="majorHAnsi" w:cstheme="majorHAnsi"/>
          <w:lang w:val="nl-NL"/>
        </w:rPr>
        <w:t xml:space="preserve"> và các đơn vị liên quan khác.</w:t>
      </w:r>
    </w:p>
    <w:p w:rsidR="00C524ED" w:rsidRDefault="00314B38">
      <w:pPr>
        <w:pStyle w:val="BodyText"/>
        <w:spacing w:before="120" w:after="120" w:line="276" w:lineRule="auto"/>
        <w:ind w:firstLine="709"/>
        <w:jc w:val="both"/>
        <w:rPr>
          <w:rFonts w:asciiTheme="majorHAnsi" w:hAnsiTheme="majorHAnsi" w:cstheme="majorHAnsi"/>
          <w:b/>
          <w:szCs w:val="28"/>
          <w:lang w:val="it-IT"/>
        </w:rPr>
      </w:pPr>
      <w:bookmarkStart w:id="4" w:name="_Toc373766249"/>
      <w:r w:rsidRPr="00314B38">
        <w:rPr>
          <w:rFonts w:asciiTheme="majorHAnsi" w:hAnsiTheme="majorHAnsi" w:cstheme="majorHAnsi"/>
          <w:b/>
          <w:szCs w:val="28"/>
          <w:lang w:val="it-IT"/>
        </w:rPr>
        <w:t>3.5. Nâng cao vai trò của Hội Thẩm định giá Việt Nam</w:t>
      </w:r>
      <w:bookmarkEnd w:id="4"/>
    </w:p>
    <w:p w:rsidR="00C524ED" w:rsidRDefault="00314B38">
      <w:pPr>
        <w:pStyle w:val="BodyText"/>
        <w:spacing w:before="120" w:after="120" w:line="276" w:lineRule="auto"/>
        <w:ind w:firstLine="709"/>
        <w:jc w:val="both"/>
        <w:rPr>
          <w:rFonts w:asciiTheme="majorHAnsi" w:hAnsiTheme="majorHAnsi" w:cstheme="majorHAnsi"/>
          <w:szCs w:val="28"/>
          <w:lang w:val="vi-VN"/>
        </w:rPr>
      </w:pPr>
      <w:r w:rsidRPr="00314B38">
        <w:rPr>
          <w:rFonts w:asciiTheme="majorHAnsi" w:hAnsiTheme="majorHAnsi" w:cstheme="majorHAnsi"/>
          <w:szCs w:val="28"/>
          <w:lang w:val="nb-NO"/>
        </w:rPr>
        <w:t xml:space="preserve">Hội Thẩm định giá Việt Nam </w:t>
      </w:r>
      <w:r w:rsidRPr="00314B38">
        <w:rPr>
          <w:rFonts w:asciiTheme="majorHAnsi" w:hAnsiTheme="majorHAnsi" w:cstheme="majorHAnsi"/>
          <w:szCs w:val="28"/>
          <w:lang w:val="nl-NL"/>
        </w:rPr>
        <w:t xml:space="preserve">đã </w:t>
      </w:r>
      <w:r w:rsidRPr="00314B38">
        <w:rPr>
          <w:rFonts w:asciiTheme="majorHAnsi" w:hAnsiTheme="majorHAnsi" w:cstheme="majorHAnsi"/>
          <w:szCs w:val="28"/>
          <w:lang w:val="vi-VN"/>
        </w:rPr>
        <w:t>có</w:t>
      </w:r>
      <w:r w:rsidRPr="00314B38">
        <w:rPr>
          <w:rFonts w:asciiTheme="majorHAnsi" w:hAnsiTheme="majorHAnsi" w:cstheme="majorHAnsi"/>
          <w:szCs w:val="28"/>
          <w:lang w:val="nb-NO"/>
        </w:rPr>
        <w:t xml:space="preserve"> những</w:t>
      </w:r>
      <w:r w:rsidRPr="00314B38">
        <w:rPr>
          <w:rFonts w:asciiTheme="majorHAnsi" w:hAnsiTheme="majorHAnsi" w:cstheme="majorHAnsi"/>
          <w:szCs w:val="28"/>
          <w:lang w:val="vi-VN"/>
        </w:rPr>
        <w:t xml:space="preserve"> bước </w:t>
      </w:r>
      <w:r w:rsidRPr="00314B38">
        <w:rPr>
          <w:rFonts w:asciiTheme="majorHAnsi" w:hAnsiTheme="majorHAnsi" w:cstheme="majorHAnsi"/>
          <w:szCs w:val="28"/>
          <w:lang w:val="nb-NO"/>
        </w:rPr>
        <w:t>tiến</w:t>
      </w:r>
      <w:r w:rsidRPr="00314B38">
        <w:rPr>
          <w:rFonts w:asciiTheme="majorHAnsi" w:hAnsiTheme="majorHAnsi" w:cstheme="majorHAnsi"/>
          <w:szCs w:val="28"/>
          <w:lang w:val="vi-VN"/>
        </w:rPr>
        <w:t xml:space="preserve"> mạnh mẽ</w:t>
      </w:r>
      <w:r w:rsidRPr="00314B38">
        <w:rPr>
          <w:rFonts w:asciiTheme="majorHAnsi" w:hAnsiTheme="majorHAnsi" w:cstheme="majorHAnsi"/>
          <w:szCs w:val="28"/>
          <w:lang w:val="nb-NO"/>
        </w:rPr>
        <w:t xml:space="preserve"> và đáng được ghi nhận cả về số lượng và chất lượng trong các hoạt động do Hội triển khai thực hiện</w:t>
      </w:r>
      <w:r w:rsidRPr="00314B38">
        <w:rPr>
          <w:rFonts w:asciiTheme="majorHAnsi" w:hAnsiTheme="majorHAnsi" w:cstheme="majorHAnsi"/>
          <w:szCs w:val="28"/>
          <w:lang w:val="vi-VN"/>
        </w:rPr>
        <w:t>. Các hoạt động do Hội triển khai ngày càng tăng về số lượng và quy mô, nhiều hoạt động có ý nghĩa thiết thực và ngày càng có uy tín. Hội cũng là diễn đàn cho các hội viên cũng như các học viên cùng trao đổi, thảo luận kinh nghiệm nghề nghiệp.</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Hội thẩm định giá Việt Nam theo chức năng, nhiệm vụ sẽ chủ động triển khai thực hiện hoặc phối hợp với Bộ Tài chính thực hiện các nội dung sau: </w:t>
      </w:r>
    </w:p>
    <w:p w:rsidR="00B92E92"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Nghiên cứu, cập nhật tiêu chuẩn thẩm định giá quốc tế để đề xuất với Bộ Tài chính xem xét ban hành hoặc bổ sung sửa đổi Tiêu chuẩn thẩm định giá Việt Nam cho phù hợp với tình hình thực tế tại Việt Nam và thông lệ quốc tế;</w:t>
      </w:r>
    </w:p>
    <w:p w:rsidR="00B92E92"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Phối hợp với Bộ Tài chính tổ chức thi cấp Thẻ thẩm định viên về giá;</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 Phối hợp với Bộ Tài chính thực hiện kiểm tra, đánh giá chất lượng hoạt động thẩm định giá và việc chấp hành các quy định của Nhà nước về thẩm định giá đối với doanh nghiệp thẩm định giá là hội viên. </w:t>
      </w:r>
    </w:p>
    <w:p w:rsidR="00C524ED" w:rsidRDefault="00314B38">
      <w:pPr>
        <w:pStyle w:val="BodyText"/>
        <w:spacing w:before="120" w:after="120" w:line="276" w:lineRule="auto"/>
        <w:ind w:firstLine="709"/>
        <w:jc w:val="both"/>
        <w:rPr>
          <w:rFonts w:asciiTheme="majorHAnsi" w:hAnsiTheme="majorHAnsi" w:cstheme="majorHAnsi"/>
          <w:b/>
          <w:szCs w:val="28"/>
          <w:lang w:val="it-IT"/>
        </w:rPr>
      </w:pPr>
      <w:bookmarkStart w:id="5" w:name="_Toc373766250"/>
      <w:r w:rsidRPr="00314B38">
        <w:rPr>
          <w:rFonts w:asciiTheme="majorHAnsi" w:hAnsiTheme="majorHAnsi" w:cstheme="majorHAnsi"/>
          <w:b/>
          <w:szCs w:val="28"/>
          <w:lang w:val="it-IT"/>
        </w:rPr>
        <w:t xml:space="preserve">3.6. Xây dựng </w:t>
      </w:r>
      <w:r w:rsidRPr="00314B38">
        <w:rPr>
          <w:rFonts w:asciiTheme="majorHAnsi" w:hAnsiTheme="majorHAnsi" w:cstheme="majorHAnsi"/>
          <w:b/>
          <w:szCs w:val="28"/>
          <w:lang w:val="nl-NL"/>
        </w:rPr>
        <w:t>Trung tâm Dữ liệu quốc gia, bồi dưỡng nghiệp vụ và dịch vụ về giá và thẩm định giá</w:t>
      </w:r>
      <w:bookmarkEnd w:id="5"/>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w:t>
      </w:r>
      <w:r w:rsidRPr="00314B38">
        <w:rPr>
          <w:rFonts w:asciiTheme="majorHAnsi" w:hAnsiTheme="majorHAnsi" w:cstheme="majorHAnsi"/>
          <w:color w:val="000000"/>
          <w:lang w:val="pt-BR"/>
        </w:rPr>
        <w:t>Xây dựng Trung tâm Dữ liệu quốc gia, Bồi dưỡng nghiệp vụ và Dịch vụ về giá và thẩm định giá: Thành lập Trung tâm Dữ liệu quốc gia, Bồi dưỡng nghiệp vụ và Dịch vụ về giá và thẩm định giá (gọi tắt là Trung tâm) là đơn vị sự nghiệp công lập trực thuộc Cục Quản lý giá- Bộ Tài chính. Trung tâm có tư cách pháp nhân, con dấu riêng, được mở tài khoản tại Kho bạc Nhà nước và Ngân hàng thương mại theo quy định của pháp luật. Trung tâm có trụ sở chính tại Hà Nội (Cục Quản lý giá- Bộ Tài chính) và có Chi nhánh tại thành phố Hồ Chí Minh và Thành phố Đà Nẵng.</w:t>
      </w:r>
    </w:p>
    <w:p w:rsidR="00C524ED" w:rsidRDefault="00314B38">
      <w:pPr>
        <w:spacing w:before="120" w:after="120" w:line="276" w:lineRule="auto"/>
        <w:ind w:firstLine="720"/>
        <w:jc w:val="both"/>
        <w:rPr>
          <w:rFonts w:asciiTheme="majorHAnsi" w:hAnsiTheme="majorHAnsi" w:cstheme="majorHAnsi"/>
          <w:lang w:val="vi-VN"/>
        </w:rPr>
      </w:pPr>
      <w:r w:rsidRPr="00314B38">
        <w:rPr>
          <w:rFonts w:asciiTheme="majorHAnsi" w:hAnsiTheme="majorHAnsi" w:cstheme="majorHAnsi"/>
          <w:lang w:val="pt-BR"/>
        </w:rPr>
        <w:t xml:space="preserve">- </w:t>
      </w:r>
      <w:r w:rsidRPr="00314B38">
        <w:rPr>
          <w:rFonts w:asciiTheme="majorHAnsi" w:hAnsiTheme="majorHAnsi" w:cstheme="majorHAnsi"/>
          <w:lang w:val="vi-VN"/>
        </w:rPr>
        <w:t xml:space="preserve">Trung tâm có </w:t>
      </w:r>
      <w:r w:rsidRPr="00314B38">
        <w:rPr>
          <w:rFonts w:asciiTheme="majorHAnsi" w:hAnsiTheme="majorHAnsi" w:cstheme="majorHAnsi"/>
          <w:lang w:val="pt-BR"/>
        </w:rPr>
        <w:t>ba</w:t>
      </w:r>
      <w:r w:rsidRPr="00314B38">
        <w:rPr>
          <w:rFonts w:asciiTheme="majorHAnsi" w:hAnsiTheme="majorHAnsi" w:cstheme="majorHAnsi"/>
          <w:lang w:val="vi-VN"/>
        </w:rPr>
        <w:t xml:space="preserve"> chức năng chính:</w:t>
      </w:r>
    </w:p>
    <w:p w:rsidR="00B92E92" w:rsidRDefault="00314B38">
      <w:pPr>
        <w:spacing w:before="120" w:after="120" w:line="276" w:lineRule="auto"/>
        <w:ind w:firstLine="720"/>
        <w:jc w:val="both"/>
        <w:rPr>
          <w:rFonts w:asciiTheme="majorHAnsi" w:hAnsiTheme="majorHAnsi" w:cstheme="majorHAnsi"/>
          <w:lang w:val="vi-VN"/>
        </w:rPr>
      </w:pPr>
      <w:r w:rsidRPr="00314B38">
        <w:rPr>
          <w:rFonts w:asciiTheme="majorHAnsi" w:hAnsiTheme="majorHAnsi" w:cstheme="majorHAnsi"/>
          <w:lang w:val="vi-VN"/>
        </w:rPr>
        <w:t>(1) Xây dựng, quản lý, vận hành và khai thác cơ sở dữ liệu quốc gia về giá theo quy định của Luật Giá; xây dựng phần mềm dự báo và ứng dụng công nghệ thông tin trong công tác thu thập, tổng hợp, phân tích, dự báo diễn biến giá cả thị trường trong nước và quốc tế phục vụ công tác quản lý nhà nước về giá và thẩm định giá;</w:t>
      </w:r>
    </w:p>
    <w:p w:rsidR="00B92E92" w:rsidRDefault="00314B38">
      <w:pPr>
        <w:spacing w:before="120" w:after="120" w:line="276" w:lineRule="auto"/>
        <w:ind w:firstLine="720"/>
        <w:jc w:val="both"/>
        <w:rPr>
          <w:rFonts w:asciiTheme="majorHAnsi" w:hAnsiTheme="majorHAnsi" w:cstheme="majorHAnsi"/>
          <w:lang w:val="vi-VN"/>
        </w:rPr>
      </w:pPr>
      <w:r w:rsidRPr="00314B38">
        <w:rPr>
          <w:rFonts w:asciiTheme="majorHAnsi" w:hAnsiTheme="majorHAnsi" w:cstheme="majorHAnsi"/>
          <w:lang w:val="vi-VN"/>
        </w:rPr>
        <w:t xml:space="preserve">(2) Tổ chức thực hiện các hoạt động nghiên cứu khoa học; bồi dưỡng kiến thức nghiệp vụ chuyên ngành về giá và thẩm định giá cho cán bộ, công chức nhà nước và các đối tượng có nhu cầu; </w:t>
      </w:r>
    </w:p>
    <w:p w:rsidR="00C524ED" w:rsidRDefault="00314B38">
      <w:pPr>
        <w:spacing w:before="120" w:after="120" w:line="276" w:lineRule="auto"/>
        <w:ind w:firstLine="720"/>
        <w:jc w:val="both"/>
        <w:rPr>
          <w:rFonts w:asciiTheme="majorHAnsi" w:hAnsiTheme="majorHAnsi" w:cstheme="majorHAnsi"/>
          <w:lang w:val="vi-VN"/>
        </w:rPr>
      </w:pPr>
      <w:r w:rsidRPr="00314B38">
        <w:rPr>
          <w:rFonts w:asciiTheme="majorHAnsi" w:hAnsiTheme="majorHAnsi" w:cstheme="majorHAnsi"/>
          <w:lang w:val="vi-VN"/>
        </w:rPr>
        <w:t>(3) Tổ chức cung cấp thông tin thuộc cơ sở dữ liệu về giá, cung cấp thông tin, tư vấn về giá và thẩm định giá cho các tổ chức, cá nhân có nhu cầu.</w:t>
      </w:r>
    </w:p>
    <w:p w:rsidR="00C524ED" w:rsidRDefault="00314B38">
      <w:pPr>
        <w:tabs>
          <w:tab w:val="left" w:pos="540"/>
        </w:tabs>
        <w:spacing w:before="120" w:after="120" w:line="276" w:lineRule="auto"/>
        <w:ind w:firstLine="720"/>
        <w:jc w:val="both"/>
        <w:rPr>
          <w:rFonts w:asciiTheme="majorHAnsi" w:hAnsiTheme="majorHAnsi" w:cstheme="majorHAnsi"/>
          <w:lang w:val="pt-BR"/>
        </w:rPr>
      </w:pPr>
      <w:r w:rsidRPr="00314B38">
        <w:rPr>
          <w:rFonts w:asciiTheme="majorHAnsi" w:hAnsiTheme="majorHAnsi" w:cstheme="majorHAnsi"/>
          <w:lang w:val="vi-VN"/>
        </w:rPr>
        <w:t>- Về kinh phí: Nhà nước đảm bảo kinh phí hoạt động trong thời gian đầu (gồm chi phí tiền lương cho cán bộ</w:t>
      </w:r>
      <w:r w:rsidRPr="00314B38">
        <w:rPr>
          <w:rFonts w:asciiTheme="majorHAnsi" w:hAnsiTheme="majorHAnsi" w:cstheme="majorHAnsi"/>
          <w:lang w:val="pt-BR"/>
        </w:rPr>
        <w:t>,</w:t>
      </w:r>
      <w:r w:rsidRPr="00314B38">
        <w:rPr>
          <w:rFonts w:asciiTheme="majorHAnsi" w:hAnsiTheme="majorHAnsi" w:cstheme="majorHAnsi"/>
          <w:lang w:val="vi-VN"/>
        </w:rPr>
        <w:t xml:space="preserve"> công chức trong chỉ tiêu biên chế; chi phí khảo sát; thu thập, mua tin;…), sau đó </w:t>
      </w:r>
      <w:r w:rsidRPr="00314B38">
        <w:rPr>
          <w:rFonts w:asciiTheme="majorHAnsi" w:hAnsiTheme="majorHAnsi" w:cstheme="majorHAnsi"/>
          <w:lang w:val="pt-BR"/>
        </w:rPr>
        <w:t xml:space="preserve">Trung tâm </w:t>
      </w:r>
      <w:r w:rsidRPr="00314B38">
        <w:rPr>
          <w:rFonts w:asciiTheme="majorHAnsi" w:hAnsiTheme="majorHAnsi" w:cstheme="majorHAnsi"/>
          <w:lang w:val="vi-VN"/>
        </w:rPr>
        <w:t xml:space="preserve">tự bảo đảm một phần kinh phí </w:t>
      </w:r>
      <w:r w:rsidRPr="00314B38">
        <w:rPr>
          <w:rFonts w:asciiTheme="majorHAnsi" w:hAnsiTheme="majorHAnsi" w:cstheme="majorHAnsi"/>
          <w:lang w:val="pt-BR"/>
        </w:rPr>
        <w:t xml:space="preserve">nhờ </w:t>
      </w:r>
      <w:r w:rsidRPr="00314B38">
        <w:rPr>
          <w:rFonts w:asciiTheme="majorHAnsi" w:hAnsiTheme="majorHAnsi" w:cstheme="majorHAnsi"/>
          <w:lang w:val="vi-VN"/>
        </w:rPr>
        <w:t>hoạt động đào tạo</w:t>
      </w:r>
      <w:r w:rsidRPr="00314B38">
        <w:rPr>
          <w:rFonts w:asciiTheme="majorHAnsi" w:hAnsiTheme="majorHAnsi" w:cstheme="majorHAnsi"/>
          <w:lang w:val="pt-BR"/>
        </w:rPr>
        <w:t>,</w:t>
      </w:r>
      <w:r w:rsidRPr="00314B38">
        <w:rPr>
          <w:rFonts w:asciiTheme="majorHAnsi" w:hAnsiTheme="majorHAnsi" w:cstheme="majorHAnsi"/>
          <w:lang w:val="vi-VN"/>
        </w:rPr>
        <w:t xml:space="preserve"> bồi dưỡng và cung cấp thông tin, dịch vụ về giá và thẩm định giá theo yêu cầu của tổ chức, cá nhân. </w:t>
      </w:r>
    </w:p>
    <w:p w:rsidR="00C524ED" w:rsidRDefault="00314B38">
      <w:pPr>
        <w:tabs>
          <w:tab w:val="left" w:pos="540"/>
        </w:tabs>
        <w:spacing w:before="120" w:after="120" w:line="276" w:lineRule="auto"/>
        <w:ind w:firstLine="720"/>
        <w:jc w:val="both"/>
        <w:rPr>
          <w:rFonts w:asciiTheme="majorHAnsi" w:hAnsiTheme="majorHAnsi" w:cstheme="majorHAnsi"/>
          <w:lang w:val="vi-VN"/>
        </w:rPr>
      </w:pPr>
      <w:r w:rsidRPr="00314B38">
        <w:rPr>
          <w:rFonts w:asciiTheme="majorHAnsi" w:hAnsiTheme="majorHAnsi" w:cstheme="majorHAnsi"/>
          <w:lang w:val="vi-VN"/>
        </w:rPr>
        <w:t xml:space="preserve">- Về tài sản: Bộ Tài chính bố trí nhà làm việc, trang thiết bị, máy móc, phương tiện làm việc để Trung tâm hoạt động. </w:t>
      </w:r>
    </w:p>
    <w:p w:rsidR="00B92E92" w:rsidRDefault="00314B38">
      <w:pPr>
        <w:spacing w:before="120" w:after="120" w:line="276" w:lineRule="auto"/>
        <w:ind w:firstLine="709"/>
        <w:jc w:val="both"/>
        <w:rPr>
          <w:rFonts w:asciiTheme="majorHAnsi" w:hAnsiTheme="majorHAnsi" w:cstheme="majorHAnsi"/>
          <w:lang w:val="vi-VN"/>
        </w:rPr>
      </w:pPr>
      <w:bookmarkStart w:id="6" w:name="_Toc345485287"/>
      <w:bookmarkStart w:id="7" w:name="_Toc373766252"/>
      <w:r w:rsidRPr="00314B38">
        <w:rPr>
          <w:rFonts w:asciiTheme="majorHAnsi" w:hAnsiTheme="majorHAnsi" w:cstheme="majorHAnsi"/>
          <w:lang w:val="pt-BR"/>
        </w:rPr>
        <w:t>- Về nhân lực</w:t>
      </w:r>
      <w:bookmarkEnd w:id="6"/>
      <w:bookmarkEnd w:id="7"/>
      <w:r w:rsidRPr="00314B38">
        <w:rPr>
          <w:rFonts w:asciiTheme="majorHAnsi" w:hAnsiTheme="majorHAnsi" w:cstheme="majorHAnsi"/>
          <w:lang w:val="pt-BR"/>
        </w:rPr>
        <w:t xml:space="preserve">: </w:t>
      </w:r>
      <w:r w:rsidRPr="00314B38">
        <w:rPr>
          <w:rFonts w:asciiTheme="majorHAnsi" w:hAnsiTheme="majorHAnsi" w:cstheme="majorHAnsi"/>
          <w:lang w:val="vi-VN"/>
        </w:rPr>
        <w:t xml:space="preserve">Yêu cầu nguồn nhân lực cho Trung tâm cần có trình độ, có năng lực, kinh nghiệm và có ý chí phấn đấu cao vì mục tiêu phát triển chung của Ngành Giá nói riêng và Tài chính nói chung, phù hợp với chức năng, nhiệm vụ của Trung tâm như </w:t>
      </w:r>
      <w:r w:rsidRPr="00314B38">
        <w:rPr>
          <w:rFonts w:asciiTheme="majorHAnsi" w:hAnsiTheme="majorHAnsi" w:cstheme="majorHAnsi"/>
          <w:lang w:val="pt-BR"/>
        </w:rPr>
        <w:t>t</w:t>
      </w:r>
      <w:r w:rsidRPr="00314B38">
        <w:rPr>
          <w:rFonts w:asciiTheme="majorHAnsi" w:hAnsiTheme="majorHAnsi" w:cstheme="majorHAnsi"/>
          <w:lang w:val="vi-VN"/>
        </w:rPr>
        <w:t>ổng hợp, phân tích dự báo, thẩm định giá, tài chính, kế toán, tin học, ngoại ngữ, kiến thức pháp lý,... Nguồn nhân lực của Trung tâm có thể thay đổi căn cứ vào chức năng, nhiệm vụ và nhu cầu từng giai đoạn. Cục Quản lý giá sẽ chủ trì phối hợp với Vụ Tổ chức cán bộ báo cáo và trình Bộ phê duyệt chỉ tiêu biên chế của Trung tâm theo từng giai đoạn.</w:t>
      </w:r>
    </w:p>
    <w:p w:rsidR="00B92E92" w:rsidRDefault="00314B38">
      <w:pPr>
        <w:spacing w:before="120" w:after="120" w:line="276" w:lineRule="auto"/>
        <w:ind w:firstLine="709"/>
        <w:jc w:val="both"/>
        <w:rPr>
          <w:rFonts w:asciiTheme="majorHAnsi" w:hAnsiTheme="majorHAnsi" w:cstheme="majorHAnsi"/>
          <w:lang w:val="vi-VN"/>
        </w:rPr>
      </w:pPr>
      <w:r w:rsidRPr="00314B38">
        <w:rPr>
          <w:rFonts w:asciiTheme="majorHAnsi" w:hAnsiTheme="majorHAnsi" w:cstheme="majorHAnsi"/>
          <w:lang w:val="vi-VN"/>
        </w:rPr>
        <w:t>Trước mắt, sử dụng một số cán bộ, công chức Cục Quản lý giá làm nòng cốt; sau đó tùy theo yêu cầu công việc và kinh phí hoạt động, nhân lực của Trung tâm sẽ được bổ sung theo chỉ tiêu biên chế và quy định của pháp luật về tuyển dụng viên chức, tuyển dụng lao động hoạt động trong đơn vị sự nghiệp công lập.</w:t>
      </w:r>
    </w:p>
    <w:p w:rsidR="00C524ED" w:rsidRDefault="007E2AE6">
      <w:pPr>
        <w:spacing w:before="120" w:after="120" w:line="276" w:lineRule="auto"/>
        <w:ind w:firstLine="709"/>
        <w:jc w:val="both"/>
        <w:rPr>
          <w:rFonts w:asciiTheme="majorHAnsi" w:hAnsiTheme="majorHAnsi" w:cstheme="majorHAnsi"/>
          <w:lang w:val="nl-NL"/>
        </w:rPr>
      </w:pPr>
      <w:r w:rsidRPr="007E2AE6">
        <w:rPr>
          <w:rFonts w:asciiTheme="majorHAnsi" w:hAnsiTheme="majorHAnsi" w:cstheme="majorHAnsi"/>
          <w:b/>
          <w:i/>
          <w:lang w:val="vi-VN"/>
        </w:rPr>
        <w:t xml:space="preserve">- </w:t>
      </w:r>
      <w:r w:rsidR="00314B38" w:rsidRPr="00314B38">
        <w:rPr>
          <w:rFonts w:asciiTheme="majorHAnsi" w:hAnsiTheme="majorHAnsi" w:cstheme="majorHAnsi"/>
          <w:lang w:val="nl-NL"/>
        </w:rPr>
        <w:t>Cơ quan thực hiện: Cục Quản lý giá chủ trì, phối hợp với các đơn vị liên quan khác.</w:t>
      </w:r>
    </w:p>
    <w:p w:rsidR="00C524ED" w:rsidRDefault="00314B38">
      <w:pPr>
        <w:pStyle w:val="Heading2"/>
        <w:spacing w:before="120" w:after="120" w:line="276" w:lineRule="auto"/>
        <w:ind w:firstLine="709"/>
        <w:jc w:val="both"/>
        <w:rPr>
          <w:rFonts w:asciiTheme="majorHAnsi" w:hAnsiTheme="majorHAnsi" w:cstheme="majorHAnsi"/>
          <w:sz w:val="28"/>
          <w:szCs w:val="28"/>
          <w:lang w:val="nl-NL"/>
        </w:rPr>
      </w:pPr>
      <w:bookmarkStart w:id="8" w:name="_Toc373766253"/>
      <w:r w:rsidRPr="00314B38">
        <w:rPr>
          <w:rFonts w:asciiTheme="majorHAnsi" w:hAnsiTheme="majorHAnsi" w:cstheme="majorHAnsi"/>
          <w:sz w:val="28"/>
          <w:szCs w:val="28"/>
          <w:lang w:val="pt-BR"/>
        </w:rPr>
        <w:t xml:space="preserve">3.7. Tăng cường kiểm tra, kiểm soát chất lượng hoạt động thẩm định giá </w:t>
      </w:r>
      <w:r w:rsidRPr="00314B38">
        <w:rPr>
          <w:rFonts w:asciiTheme="majorHAnsi" w:hAnsiTheme="majorHAnsi" w:cstheme="majorHAnsi"/>
          <w:sz w:val="28"/>
          <w:szCs w:val="28"/>
          <w:lang w:val="nl-NL"/>
        </w:rPr>
        <w:t>và việc chấp hành các quy định của Nhà nước về thẩm định giá</w:t>
      </w:r>
    </w:p>
    <w:p w:rsidR="00B92E92"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pt-BR"/>
        </w:rPr>
        <w:t xml:space="preserve">Tăng cường kiểm tra, kiểm soát chất lượng hoạt động thẩm định giá </w:t>
      </w:r>
      <w:r w:rsidRPr="00314B38">
        <w:rPr>
          <w:rFonts w:asciiTheme="majorHAnsi" w:hAnsiTheme="majorHAnsi" w:cstheme="majorHAnsi"/>
          <w:lang w:val="nl-NL"/>
        </w:rPr>
        <w:t xml:space="preserve">và việc chấp hành các quy định của Nhà nước về thẩm định giá. </w:t>
      </w:r>
    </w:p>
    <w:p w:rsidR="00B92E92" w:rsidRDefault="00314B38">
      <w:pPr>
        <w:spacing w:before="120" w:after="120" w:line="276" w:lineRule="auto"/>
        <w:ind w:firstLine="709"/>
        <w:jc w:val="both"/>
        <w:rPr>
          <w:rFonts w:asciiTheme="majorHAnsi" w:hAnsiTheme="majorHAnsi" w:cstheme="majorHAnsi"/>
          <w:i/>
          <w:lang w:val="pt-BR"/>
        </w:rPr>
      </w:pPr>
      <w:r w:rsidRPr="00314B38">
        <w:rPr>
          <w:rFonts w:asciiTheme="majorHAnsi" w:hAnsiTheme="majorHAnsi" w:cstheme="majorHAnsi"/>
          <w:b/>
          <w:i/>
          <w:lang w:val="nl-NL"/>
        </w:rPr>
        <w:t xml:space="preserve">Các hoạt động cụ thể: </w:t>
      </w:r>
    </w:p>
    <w:p w:rsidR="00B92E92"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Hoạt động 1: </w:t>
      </w:r>
      <w:r w:rsidR="00770AAD" w:rsidRPr="00770AAD">
        <w:rPr>
          <w:rFonts w:asciiTheme="majorHAnsi" w:hAnsiTheme="majorHAnsi" w:cstheme="majorHAnsi"/>
          <w:lang w:val="pt-BR"/>
        </w:rPr>
        <w:t>Hướng dẫn việc x</w:t>
      </w:r>
      <w:r w:rsidRPr="00314B38">
        <w:rPr>
          <w:rFonts w:asciiTheme="majorHAnsi" w:hAnsiTheme="majorHAnsi" w:cstheme="majorHAnsi"/>
          <w:lang w:val="pt-BR"/>
        </w:rPr>
        <w:t>ây dựng và ban hành quy trình kiểm soát chất lượng hoạt động thẩm định giá</w:t>
      </w:r>
      <w:r w:rsidR="00770AAD" w:rsidRPr="00770AAD">
        <w:rPr>
          <w:rFonts w:asciiTheme="majorHAnsi" w:hAnsiTheme="majorHAnsi" w:cstheme="majorHAnsi"/>
          <w:lang w:val="pt-BR"/>
        </w:rPr>
        <w:t xml:space="preserve"> tại các doanh nghiệp thẩm định giá</w:t>
      </w:r>
      <w:r w:rsidRPr="00314B38">
        <w:rPr>
          <w:rFonts w:asciiTheme="majorHAnsi" w:hAnsiTheme="majorHAnsi" w:cstheme="majorHAnsi"/>
          <w:lang w:val="pt-BR"/>
        </w:rPr>
        <w:t>.</w:t>
      </w:r>
    </w:p>
    <w:p w:rsidR="00C524ED" w:rsidRDefault="00314B38">
      <w:pPr>
        <w:spacing w:before="120" w:after="120" w:line="276" w:lineRule="auto"/>
        <w:ind w:firstLine="709"/>
        <w:jc w:val="both"/>
        <w:rPr>
          <w:rStyle w:val="st1"/>
          <w:rFonts w:asciiTheme="majorHAnsi" w:hAnsiTheme="majorHAnsi" w:cstheme="majorHAnsi"/>
          <w:bCs/>
          <w:lang w:val="pt-BR"/>
        </w:rPr>
      </w:pPr>
      <w:r w:rsidRPr="00314B38">
        <w:rPr>
          <w:rFonts w:asciiTheme="majorHAnsi" w:hAnsiTheme="majorHAnsi" w:cstheme="majorHAnsi"/>
          <w:lang w:val="pt-BR"/>
        </w:rPr>
        <w:t xml:space="preserve">Tiến độ: </w:t>
      </w:r>
      <w:r w:rsidRPr="00314B38">
        <w:rPr>
          <w:rFonts w:asciiTheme="majorHAnsi" w:hAnsiTheme="majorHAnsi" w:cstheme="majorHAnsi"/>
          <w:lang w:val="nl-NL"/>
        </w:rPr>
        <w:t>Khởi động từ Quý IV năm 2014, hoàn thành vào Quý I năm 2015</w:t>
      </w:r>
      <w:r w:rsidR="00770AAD">
        <w:rPr>
          <w:rFonts w:asciiTheme="majorHAnsi" w:hAnsiTheme="majorHAnsi" w:cstheme="majorHAnsi"/>
          <w:lang w:val="nl-NL"/>
        </w:rPr>
        <w:t>.</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pt-BR"/>
        </w:rPr>
        <w:t xml:space="preserve">Cơ quan thực hiện: </w:t>
      </w:r>
      <w:r w:rsidRPr="00314B38">
        <w:rPr>
          <w:rFonts w:asciiTheme="majorHAnsi" w:hAnsiTheme="majorHAnsi" w:cstheme="majorHAnsi"/>
          <w:lang w:val="nl-NL"/>
        </w:rPr>
        <w:t>Cục Quản lý giá chủ trì, phối hợp với các đơn vị liên quan khác.</w:t>
      </w:r>
    </w:p>
    <w:p w:rsidR="00B92E92"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Hoạt động 2: </w:t>
      </w:r>
      <w:r w:rsidRPr="00314B38">
        <w:rPr>
          <w:rFonts w:asciiTheme="majorHAnsi" w:hAnsiTheme="majorHAnsi" w:cstheme="majorHAnsi"/>
          <w:lang w:val="nl-NL"/>
        </w:rPr>
        <w:t xml:space="preserve">Hướng dẫn việc xây dựng kế hoạch, quy trình thanh tra, kiểm tra hoạt động thẩm định giá và kiểm tra chất lượng thẩm định giá tại doanh nghiệp thẩm định giá; tổ chức triển khai công tác thanh tra, kiểm tra hoạt động thẩm định giá theo quy định; thanh tra, kiểm tra hoạt động đào tạo, bồi dưỡng về thẩm định giá đối với các cơ sở đào tạo có đủ điều kiện đào tạo </w:t>
      </w:r>
      <w:bookmarkStart w:id="9" w:name="_GoBack"/>
      <w:bookmarkEnd w:id="9"/>
      <w:r w:rsidRPr="00314B38">
        <w:rPr>
          <w:rFonts w:asciiTheme="majorHAnsi" w:hAnsiTheme="majorHAnsi" w:cstheme="majorHAnsi"/>
          <w:lang w:val="nl-NL"/>
        </w:rPr>
        <w:t>chuyên ngành thẩm định giá theo quy định của Bộ Tài chính</w:t>
      </w:r>
      <w:r w:rsidRPr="00314B38">
        <w:rPr>
          <w:rFonts w:asciiTheme="majorHAnsi" w:hAnsiTheme="majorHAnsi" w:cstheme="majorHAnsi"/>
          <w:lang w:val="pt-BR"/>
        </w:rPr>
        <w:t>.</w:t>
      </w:r>
    </w:p>
    <w:p w:rsidR="00C524ED" w:rsidRDefault="00314B38">
      <w:pPr>
        <w:spacing w:before="120" w:after="120" w:line="276" w:lineRule="auto"/>
        <w:ind w:firstLine="709"/>
        <w:jc w:val="both"/>
        <w:rPr>
          <w:rStyle w:val="st1"/>
          <w:rFonts w:asciiTheme="majorHAnsi" w:hAnsiTheme="majorHAnsi" w:cstheme="majorHAnsi"/>
          <w:bCs/>
          <w:lang w:val="pt-BR"/>
        </w:rPr>
      </w:pPr>
      <w:r w:rsidRPr="00314B38">
        <w:rPr>
          <w:rFonts w:asciiTheme="majorHAnsi" w:hAnsiTheme="majorHAnsi" w:cstheme="majorHAnsi"/>
          <w:lang w:val="pt-BR"/>
        </w:rPr>
        <w:t xml:space="preserve"> Tiến độ: </w:t>
      </w:r>
      <w:r w:rsidRPr="00314B38">
        <w:rPr>
          <w:rFonts w:asciiTheme="majorHAnsi" w:hAnsiTheme="majorHAnsi" w:cstheme="majorHAnsi"/>
          <w:lang w:val="nl-NL"/>
        </w:rPr>
        <w:t>Khởi động từ Quý I năm 2014</w:t>
      </w:r>
      <w:r w:rsidR="00770AAD">
        <w:rPr>
          <w:rFonts w:asciiTheme="majorHAnsi" w:hAnsiTheme="majorHAnsi" w:cstheme="majorHAnsi"/>
          <w:lang w:val="nl-NL"/>
        </w:rPr>
        <w:t xml:space="preserve"> và thực hiện thường xuyên hàng năm</w:t>
      </w:r>
      <w:r w:rsidRPr="00314B38">
        <w:rPr>
          <w:rFonts w:asciiTheme="majorHAnsi" w:hAnsiTheme="majorHAnsi" w:cstheme="majorHAnsi"/>
          <w:lang w:val="nl-NL"/>
        </w:rPr>
        <w:t xml:space="preserve">. </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pt-BR"/>
        </w:rPr>
        <w:t xml:space="preserve">Cơ quan thực hiện: </w:t>
      </w:r>
      <w:r w:rsidRPr="00314B38">
        <w:rPr>
          <w:rFonts w:asciiTheme="majorHAnsi" w:hAnsiTheme="majorHAnsi" w:cstheme="majorHAnsi"/>
          <w:lang w:val="nl-NL"/>
        </w:rPr>
        <w:t xml:space="preserve">Cục Quản lý giá chủ trì, phối hợp với các đơn vị liên quan </w:t>
      </w:r>
      <w:r w:rsidR="00770AAD">
        <w:rPr>
          <w:rFonts w:asciiTheme="majorHAnsi" w:hAnsiTheme="majorHAnsi" w:cstheme="majorHAnsi"/>
          <w:lang w:val="nl-NL"/>
        </w:rPr>
        <w:t>và Hội Thẩm định giá Việt Nam</w:t>
      </w:r>
      <w:r w:rsidRPr="00314B38">
        <w:rPr>
          <w:rFonts w:asciiTheme="majorHAnsi" w:hAnsiTheme="majorHAnsi" w:cstheme="majorHAnsi"/>
          <w:lang w:val="nl-NL"/>
        </w:rPr>
        <w:t>.</w:t>
      </w:r>
    </w:p>
    <w:p w:rsidR="00C524ED" w:rsidRDefault="00314B38">
      <w:pPr>
        <w:pStyle w:val="Heading2"/>
        <w:spacing w:before="120" w:after="120" w:line="276" w:lineRule="auto"/>
        <w:ind w:firstLine="709"/>
        <w:jc w:val="both"/>
        <w:rPr>
          <w:rFonts w:asciiTheme="majorHAnsi" w:hAnsiTheme="majorHAnsi" w:cstheme="majorHAnsi"/>
          <w:sz w:val="28"/>
          <w:szCs w:val="28"/>
          <w:lang w:val="pt-BR"/>
        </w:rPr>
      </w:pPr>
      <w:r w:rsidRPr="00314B38">
        <w:rPr>
          <w:rFonts w:asciiTheme="majorHAnsi" w:hAnsiTheme="majorHAnsi" w:cstheme="majorHAnsi"/>
          <w:sz w:val="28"/>
          <w:szCs w:val="28"/>
          <w:lang w:val="pt-BR"/>
        </w:rPr>
        <w:t>3.8. Tăng cường hợp tác quốc tế trong lĩnh vực thẩm định giá</w:t>
      </w:r>
      <w:bookmarkEnd w:id="8"/>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Tăng cường phát triển các mối quan hệ hợp tác sẵn có và mang tính truyền thống với các tổ chức thẩm định giá quốc tế mà Việt Nam đã là thành viên, cụ thể: Hiệp hội thẩm định giá các nước ASEAN (AVA); Hội đồng Tiêu chuẩn Thẩm định giá quốc tế - IVSC. Bên cạnh đó, mở rộng mối quan hệ hợp tác với một số tổ chức thẩm định giá có ảnh hưởng lớn trong lĩnh vực thẩm định giá, tiến tới công nhận lẫn nhau trong hoạt động thẩm định giá.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Tổ chức và tham gia các hội nghị, hội thảo trong khu vực và quốc tế về thẩm định giá nhằm thúc đẩy sự phát triển của nghề thẩm định giá tại Việt Nam. </w:t>
      </w:r>
    </w:p>
    <w:p w:rsidR="00C524ED" w:rsidRDefault="00314B38">
      <w:pPr>
        <w:spacing w:before="120" w:after="120" w:line="276" w:lineRule="auto"/>
        <w:ind w:firstLine="709"/>
        <w:jc w:val="both"/>
        <w:rPr>
          <w:rFonts w:asciiTheme="majorHAnsi" w:hAnsiTheme="majorHAnsi" w:cstheme="majorHAnsi"/>
          <w:lang w:val="pt-BR"/>
        </w:rPr>
      </w:pPr>
      <w:r w:rsidRPr="00314B38">
        <w:rPr>
          <w:rFonts w:asciiTheme="majorHAnsi" w:hAnsiTheme="majorHAnsi" w:cstheme="majorHAnsi"/>
          <w:lang w:val="pt-BR"/>
        </w:rPr>
        <w:t xml:space="preserve">- Hợp tác với các chuyên gia và giảng viên nước ngoài về chuyên ngành thẩm định giá, tham gia giảng dạy về thẩm định giá tại Việt Nam. </w:t>
      </w:r>
    </w:p>
    <w:p w:rsidR="00C524ED" w:rsidRDefault="00314B38">
      <w:pPr>
        <w:pStyle w:val="BodyText"/>
        <w:spacing w:before="120" w:after="120" w:line="276" w:lineRule="auto"/>
        <w:ind w:firstLine="709"/>
        <w:jc w:val="both"/>
        <w:rPr>
          <w:rFonts w:asciiTheme="majorHAnsi" w:hAnsiTheme="majorHAnsi" w:cstheme="majorHAnsi"/>
          <w:szCs w:val="28"/>
          <w:lang w:val="pt-BR"/>
        </w:rPr>
      </w:pPr>
      <w:r w:rsidRPr="00314B38">
        <w:rPr>
          <w:rFonts w:asciiTheme="majorHAnsi" w:hAnsiTheme="majorHAnsi" w:cstheme="majorHAnsi"/>
          <w:szCs w:val="28"/>
          <w:lang w:val="pt-BR"/>
        </w:rPr>
        <w:t>- Cử cán bộ làm công tác thẩm định giá tham dự các khóa đào tạo, khảo sát tại nước ngoài.</w:t>
      </w:r>
    </w:p>
    <w:p w:rsidR="00C524ED" w:rsidRDefault="00314B38">
      <w:pPr>
        <w:spacing w:before="120" w:after="120" w:line="276" w:lineRule="auto"/>
        <w:ind w:firstLine="709"/>
        <w:jc w:val="both"/>
        <w:rPr>
          <w:rFonts w:asciiTheme="majorHAnsi" w:hAnsiTheme="majorHAnsi" w:cstheme="majorHAnsi"/>
          <w:b/>
          <w:lang w:val="nl-NL"/>
        </w:rPr>
      </w:pPr>
      <w:r w:rsidRPr="00314B38">
        <w:rPr>
          <w:rFonts w:asciiTheme="majorHAnsi" w:hAnsiTheme="majorHAnsi" w:cstheme="majorHAnsi"/>
          <w:b/>
          <w:i/>
          <w:lang w:val="pt-BR"/>
        </w:rPr>
        <w:t>Các hoạt động cụ thể:</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(1) Hoạt động trợ giúp việc xây dựng và hoàn thiện môi trường pháp lý cho hoạt động thẩm định giá;</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(2) Hoạt động trợ giúp về đào tạo đội ngũ giảng viên chuyên ngành thẩm định giá; </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(3) Hoạt động trợ giúp đào tạo, bồi dưỡng nghiệp vụ chuyên ngành thẩm định giá cho các thẩm định viên về giá; </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 xml:space="preserve">(4) Hoạt động trợ giúp đào tạo, bồi dưỡng nghiệp vụ chuyên ngành thẩm định giá cho các cán bộ quản lý thẩm định giá; </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(5) Tổ chức và tham gia các hội thảo quốc tế về lĩnh vực thẩm định giá; nghiên cứu, khảo sát học tập kinh nghiệm nước ngoài. Tham gia các hội nghị thường niên của tổ chức thẩm định giá thế giới và khu vực mà Việt Nam là thành viên (IVSC, AVA).</w:t>
      </w:r>
    </w:p>
    <w:p w:rsidR="00C524ED" w:rsidRDefault="00314B38">
      <w:pPr>
        <w:spacing w:before="120" w:after="120" w:line="276" w:lineRule="auto"/>
        <w:ind w:firstLine="709"/>
        <w:jc w:val="both"/>
        <w:rPr>
          <w:rFonts w:asciiTheme="majorHAnsi" w:hAnsiTheme="majorHAnsi" w:cstheme="majorHAnsi"/>
          <w:lang w:val="nl-NL"/>
        </w:rPr>
      </w:pPr>
      <w:r w:rsidRPr="00314B38">
        <w:rPr>
          <w:rFonts w:asciiTheme="majorHAnsi" w:hAnsiTheme="majorHAnsi" w:cstheme="majorHAnsi"/>
          <w:lang w:val="nl-NL"/>
        </w:rPr>
        <w:t>Tiến độ: Đã hoạt động thường xuyên, đẩy mạnh tiến độ</w:t>
      </w:r>
      <w:r w:rsidR="00770AAD">
        <w:rPr>
          <w:rFonts w:asciiTheme="majorHAnsi" w:hAnsiTheme="majorHAnsi" w:cstheme="majorHAnsi"/>
          <w:lang w:val="nl-NL"/>
        </w:rPr>
        <w:t xml:space="preserve"> từ</w:t>
      </w:r>
      <w:r w:rsidRPr="00314B38">
        <w:rPr>
          <w:rFonts w:asciiTheme="majorHAnsi" w:hAnsiTheme="majorHAnsi" w:cstheme="majorHAnsi"/>
          <w:lang w:val="nl-NL"/>
        </w:rPr>
        <w:t xml:space="preserve"> Quý II năm 2014 và tổ chức hoạt động hàng năm.</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 xml:space="preserve">Cơ quan thực hiện: Cục Quản lý giá chủ trì đối với các hoạt động 1, 3, 4, 5; </w:t>
      </w:r>
      <w:r w:rsidRPr="00314B38">
        <w:rPr>
          <w:rFonts w:asciiTheme="majorHAnsi" w:hAnsiTheme="majorHAnsi" w:cstheme="majorHAnsi"/>
          <w:szCs w:val="28"/>
          <w:lang w:val="pt-BR"/>
        </w:rPr>
        <w:t xml:space="preserve">các trường đại học, cao đẳng thuộc Bộ Tài chính có đào tạo chuyên ngành thẩm định giá </w:t>
      </w:r>
      <w:r w:rsidRPr="00314B38">
        <w:rPr>
          <w:rFonts w:asciiTheme="majorHAnsi" w:hAnsiTheme="majorHAnsi" w:cstheme="majorHAnsi"/>
          <w:szCs w:val="28"/>
          <w:lang w:val="nl-NL"/>
        </w:rPr>
        <w:t xml:space="preserve">chủ trì đối với hoạt động 2. Đồng thời, phối hợp với các đơn vị và cơ quan liên quan khác trong tất cả các hoạt động nếu cần thiết. </w:t>
      </w:r>
    </w:p>
    <w:p w:rsidR="00C524ED" w:rsidRDefault="00314B38">
      <w:pPr>
        <w:pStyle w:val="BodyText"/>
        <w:spacing w:before="120" w:after="120" w:line="276" w:lineRule="auto"/>
        <w:ind w:firstLine="709"/>
        <w:jc w:val="both"/>
        <w:rPr>
          <w:rFonts w:asciiTheme="majorHAnsi" w:hAnsiTheme="majorHAnsi" w:cstheme="majorHAnsi"/>
          <w:b/>
          <w:szCs w:val="28"/>
          <w:lang w:val="it-IT"/>
        </w:rPr>
      </w:pPr>
      <w:r w:rsidRPr="00314B38">
        <w:rPr>
          <w:rFonts w:asciiTheme="majorHAnsi" w:hAnsiTheme="majorHAnsi" w:cstheme="majorHAnsi"/>
          <w:b/>
          <w:szCs w:val="28"/>
          <w:lang w:val="it-IT"/>
        </w:rPr>
        <w:t xml:space="preserve">Điều 2. </w:t>
      </w:r>
      <w:r w:rsidR="00770AAD">
        <w:rPr>
          <w:rFonts w:asciiTheme="majorHAnsi" w:hAnsiTheme="majorHAnsi" w:cstheme="majorHAnsi"/>
          <w:b/>
          <w:szCs w:val="28"/>
          <w:lang w:val="it-IT"/>
        </w:rPr>
        <w:t>Kinh phí và t</w:t>
      </w:r>
      <w:r w:rsidRPr="00314B38">
        <w:rPr>
          <w:rFonts w:asciiTheme="majorHAnsi" w:hAnsiTheme="majorHAnsi" w:cstheme="majorHAnsi"/>
          <w:b/>
          <w:szCs w:val="28"/>
          <w:lang w:val="it-IT"/>
        </w:rPr>
        <w:t>ổ chức thực hiện</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 xml:space="preserve">1. </w:t>
      </w:r>
      <w:r w:rsidRPr="00314B38">
        <w:rPr>
          <w:rFonts w:asciiTheme="majorHAnsi" w:hAnsiTheme="majorHAnsi" w:cstheme="majorHAnsi"/>
          <w:szCs w:val="28"/>
          <w:lang w:val="pt-BR"/>
        </w:rPr>
        <w:t>Kinh phí để thực hiện Đề án hàng năm do Bộ Tài chính xác định, tổng hợp vào dự toán ngân sách của Bộ Tài chính và các Bộ, cơ quan liên quan trình cấp có thẩm quyền phê duyệt. Nguồn kinh phí từ ngân sách nhà nước và nguồn tài trợ bên ngoài (nếu có).</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 xml:space="preserve">2. Tổ chức thực hiện </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 xml:space="preserve">a) Cục Quản lý giá chủ trì, phối hợp với các đơn vị liên quan căn cứ Quyết định này tổ chức triển khai thực hiện Đề án, báo cáo Bộ Tài chính tình hình, kết quả triển khai thực hiện Đề án hàng năm. </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 xml:space="preserve">b) </w:t>
      </w:r>
      <w:r w:rsidR="00C524ED">
        <w:rPr>
          <w:rFonts w:asciiTheme="majorHAnsi" w:hAnsiTheme="majorHAnsi" w:cstheme="majorHAnsi"/>
          <w:szCs w:val="28"/>
          <w:lang w:val="nl-NL"/>
        </w:rPr>
        <w:t>Cục</w:t>
      </w:r>
      <w:r w:rsidRPr="00314B38">
        <w:rPr>
          <w:rFonts w:asciiTheme="majorHAnsi" w:hAnsiTheme="majorHAnsi" w:cstheme="majorHAnsi"/>
          <w:szCs w:val="28"/>
          <w:lang w:val="nl-NL"/>
        </w:rPr>
        <w:t xml:space="preserve"> Kế hoạch - Tài chính chủ trì, phối hợp với các đơn vị liên quan trình Bộ Tài chính xem xét bố trí kinh phí và điều kiện vật chất khác bảo đảm Đề án được triển khai có hiệu quả.</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c) Vụ Hợp tác quốc tế có trách nhiệm rà soát, phát hiện kịp thời khả năng tài trợ từ các dự án để đề xuất việc hỗ trợ thực hiện Đề án.</w:t>
      </w:r>
    </w:p>
    <w:p w:rsidR="00C524ED" w:rsidRDefault="00314B38">
      <w:pPr>
        <w:pStyle w:val="BodyText"/>
        <w:spacing w:before="120" w:after="120" w:line="276" w:lineRule="auto"/>
        <w:ind w:firstLine="709"/>
        <w:jc w:val="both"/>
        <w:rPr>
          <w:rFonts w:asciiTheme="majorHAnsi" w:hAnsiTheme="majorHAnsi" w:cstheme="majorHAnsi"/>
          <w:szCs w:val="28"/>
          <w:lang w:val="nl-NL"/>
        </w:rPr>
      </w:pPr>
      <w:r w:rsidRPr="00314B38">
        <w:rPr>
          <w:rFonts w:asciiTheme="majorHAnsi" w:hAnsiTheme="majorHAnsi" w:cstheme="majorHAnsi"/>
          <w:szCs w:val="28"/>
          <w:lang w:val="nl-NL"/>
        </w:rPr>
        <w:t xml:space="preserve">d) Các đơn vị thuộc Bộ theo đúng chức năng của mình có trách nhiệm phối hợp, hỗ trợ Cục Quản lý giá trong việc triển khai thực hiện Đề án. </w:t>
      </w:r>
    </w:p>
    <w:p w:rsidR="00C524ED" w:rsidRDefault="00314B38">
      <w:pPr>
        <w:pStyle w:val="BodyText"/>
        <w:spacing w:before="120" w:after="120" w:line="276" w:lineRule="auto"/>
        <w:ind w:firstLine="709"/>
        <w:jc w:val="both"/>
        <w:rPr>
          <w:rFonts w:asciiTheme="majorHAnsi" w:hAnsiTheme="majorHAnsi" w:cstheme="majorHAnsi"/>
          <w:szCs w:val="28"/>
          <w:lang w:val="it-IT"/>
        </w:rPr>
      </w:pPr>
      <w:r w:rsidRPr="00314B38">
        <w:rPr>
          <w:rFonts w:asciiTheme="majorHAnsi" w:hAnsiTheme="majorHAnsi" w:cstheme="majorHAnsi"/>
          <w:b/>
          <w:szCs w:val="28"/>
          <w:lang w:val="it-IT"/>
        </w:rPr>
        <w:t xml:space="preserve">Điều 3. </w:t>
      </w:r>
      <w:r w:rsidRPr="00314B38">
        <w:rPr>
          <w:rFonts w:asciiTheme="majorHAnsi" w:hAnsiTheme="majorHAnsi" w:cstheme="majorHAnsi"/>
          <w:szCs w:val="28"/>
          <w:lang w:val="it-IT"/>
        </w:rPr>
        <w:t xml:space="preserve">Quyết định này có hiệu lực thi hành kể từ ngày ký. Cục trưởng Cục Quản lý giá, </w:t>
      </w:r>
      <w:r w:rsidR="00C524ED">
        <w:rPr>
          <w:rFonts w:asciiTheme="majorHAnsi" w:hAnsiTheme="majorHAnsi" w:cstheme="majorHAnsi"/>
          <w:szCs w:val="28"/>
          <w:lang w:val="nl-NL"/>
        </w:rPr>
        <w:t>Cục</w:t>
      </w:r>
      <w:r w:rsidRPr="00314B38">
        <w:rPr>
          <w:rFonts w:asciiTheme="majorHAnsi" w:hAnsiTheme="majorHAnsi" w:cstheme="majorHAnsi"/>
          <w:szCs w:val="28"/>
          <w:lang w:val="it-IT"/>
        </w:rPr>
        <w:t xml:space="preserve"> trưởng </w:t>
      </w:r>
      <w:r w:rsidR="00C524ED">
        <w:rPr>
          <w:rFonts w:asciiTheme="majorHAnsi" w:hAnsiTheme="majorHAnsi" w:cstheme="majorHAnsi"/>
          <w:szCs w:val="28"/>
          <w:lang w:val="nl-NL"/>
        </w:rPr>
        <w:t>Cục</w:t>
      </w:r>
      <w:r w:rsidRPr="00314B38">
        <w:rPr>
          <w:rFonts w:asciiTheme="majorHAnsi" w:hAnsiTheme="majorHAnsi" w:cstheme="majorHAnsi"/>
          <w:szCs w:val="28"/>
          <w:lang w:val="it-IT"/>
        </w:rPr>
        <w:t xml:space="preserve"> Kế hoạch- Tài chính, Vụ trưởng Vụ Hợp tác quốc tế, Chánh Văn phòng Bộ Tài chính và Thủ trưởng các đơn vị thuộc Bộ; Sở Tài chính các tỉnh, thành phố trực thuộc trung ương; các trường cao đẳng, đại học thuộc Bộ Tài chính có chuyên ngành thẩm định giá; tổ chức nghề nghiệp về thẩm định giá; các tổ chức và cá nhân khác có liên quan chịu trách nhiệm thi hành Quyết định này./.</w:t>
      </w:r>
    </w:p>
    <w:p w:rsidR="00681196" w:rsidRPr="00321B16" w:rsidRDefault="00681196" w:rsidP="00043380">
      <w:pPr>
        <w:pStyle w:val="BodyText"/>
        <w:spacing w:before="120" w:after="120"/>
        <w:ind w:firstLine="567"/>
        <w:jc w:val="both"/>
        <w:rPr>
          <w:sz w:val="2"/>
          <w:szCs w:val="28"/>
          <w:lang w:val="it-IT"/>
        </w:rPr>
      </w:pPr>
    </w:p>
    <w:tbl>
      <w:tblPr>
        <w:tblW w:w="9621" w:type="dxa"/>
        <w:tblInd w:w="108" w:type="dxa"/>
        <w:tblLook w:val="01E0"/>
      </w:tblPr>
      <w:tblGrid>
        <w:gridCol w:w="5310"/>
        <w:gridCol w:w="4311"/>
      </w:tblGrid>
      <w:tr w:rsidR="00656116" w:rsidRPr="00051A64" w:rsidTr="00656116">
        <w:tc>
          <w:tcPr>
            <w:tcW w:w="5310" w:type="dxa"/>
          </w:tcPr>
          <w:p w:rsidR="00656116" w:rsidRPr="00321B16" w:rsidRDefault="00770AAD" w:rsidP="00C60917">
            <w:pPr>
              <w:spacing w:after="120" w:line="200" w:lineRule="exact"/>
              <w:rPr>
                <w:b/>
                <w:bCs/>
                <w:i/>
                <w:iCs/>
                <w:sz w:val="24"/>
                <w:szCs w:val="24"/>
                <w:lang w:val="it-IT"/>
              </w:rPr>
            </w:pPr>
            <w:r>
              <w:rPr>
                <w:b/>
                <w:bCs/>
                <w:i/>
                <w:iCs/>
                <w:sz w:val="24"/>
                <w:szCs w:val="24"/>
                <w:lang w:val="it-IT"/>
              </w:rPr>
              <w:t>Nơi nhận:</w:t>
            </w:r>
          </w:p>
          <w:p w:rsidR="00086FC5" w:rsidRPr="00321B16" w:rsidRDefault="00770AAD" w:rsidP="00C60917">
            <w:pPr>
              <w:spacing w:line="220" w:lineRule="exact"/>
              <w:rPr>
                <w:sz w:val="22"/>
                <w:szCs w:val="22"/>
                <w:lang w:val="nl-NL"/>
              </w:rPr>
            </w:pPr>
            <w:r>
              <w:rPr>
                <w:sz w:val="22"/>
                <w:szCs w:val="22"/>
                <w:lang w:val="nl-NL"/>
              </w:rPr>
              <w:t>- Lãnh đạo Bộ;</w:t>
            </w:r>
          </w:p>
          <w:p w:rsidR="002813C0" w:rsidRPr="00321B16" w:rsidRDefault="00770AAD" w:rsidP="00C60917">
            <w:pPr>
              <w:spacing w:line="220" w:lineRule="exact"/>
              <w:rPr>
                <w:sz w:val="22"/>
                <w:szCs w:val="22"/>
                <w:lang w:val="nl-NL"/>
              </w:rPr>
            </w:pPr>
            <w:r>
              <w:rPr>
                <w:sz w:val="22"/>
                <w:szCs w:val="22"/>
                <w:lang w:val="nl-NL"/>
              </w:rPr>
              <w:t>- Như Điều 3;</w:t>
            </w:r>
          </w:p>
          <w:p w:rsidR="00C229B7" w:rsidRPr="00321B16" w:rsidRDefault="00770AAD" w:rsidP="00086FC5">
            <w:pPr>
              <w:spacing w:line="220" w:lineRule="exact"/>
              <w:rPr>
                <w:sz w:val="22"/>
                <w:szCs w:val="22"/>
                <w:lang w:val="it-IT"/>
              </w:rPr>
            </w:pPr>
            <w:r>
              <w:rPr>
                <w:sz w:val="22"/>
                <w:szCs w:val="22"/>
                <w:lang w:val="it-IT"/>
              </w:rPr>
              <w:t>- Website Bộ Tài chính;</w:t>
            </w:r>
          </w:p>
          <w:p w:rsidR="00656116" w:rsidRPr="00321B16" w:rsidRDefault="00770AAD" w:rsidP="00086FC5">
            <w:pPr>
              <w:spacing w:line="220" w:lineRule="exact"/>
              <w:rPr>
                <w:lang w:val="nl-NL"/>
              </w:rPr>
            </w:pPr>
            <w:r>
              <w:rPr>
                <w:sz w:val="22"/>
                <w:szCs w:val="22"/>
                <w:lang w:val="it-IT"/>
              </w:rPr>
              <w:t>- Website Cục QLG;</w:t>
            </w:r>
            <w:r>
              <w:rPr>
                <w:sz w:val="22"/>
                <w:szCs w:val="22"/>
                <w:lang w:val="it-IT"/>
              </w:rPr>
              <w:br/>
              <w:t>- Lưu: VT; QLG (        ).</w:t>
            </w:r>
          </w:p>
        </w:tc>
        <w:tc>
          <w:tcPr>
            <w:tcW w:w="4311" w:type="dxa"/>
          </w:tcPr>
          <w:p w:rsidR="00656116" w:rsidRPr="00321B16" w:rsidRDefault="00770AAD" w:rsidP="00656116">
            <w:pPr>
              <w:jc w:val="center"/>
              <w:rPr>
                <w:b/>
                <w:bCs/>
                <w:sz w:val="26"/>
                <w:szCs w:val="26"/>
                <w:lang w:val="nl-NL"/>
              </w:rPr>
            </w:pPr>
            <w:r>
              <w:rPr>
                <w:b/>
                <w:bCs/>
                <w:sz w:val="26"/>
                <w:szCs w:val="26"/>
                <w:lang w:val="nl-NL"/>
              </w:rPr>
              <w:t>BỘ TRƯỞNG</w:t>
            </w:r>
          </w:p>
          <w:p w:rsidR="00656116" w:rsidRPr="00321B16" w:rsidRDefault="00656116" w:rsidP="00656116">
            <w:pPr>
              <w:widowControl w:val="0"/>
              <w:autoSpaceDE w:val="0"/>
              <w:autoSpaceDN w:val="0"/>
              <w:adjustRightInd w:val="0"/>
              <w:jc w:val="center"/>
              <w:outlineLvl w:val="0"/>
              <w:rPr>
                <w:b/>
                <w:bCs/>
                <w:sz w:val="26"/>
                <w:szCs w:val="26"/>
                <w:lang w:val="nl-NL"/>
              </w:rPr>
            </w:pPr>
          </w:p>
          <w:p w:rsidR="00656116" w:rsidRPr="00321B16" w:rsidRDefault="00656116" w:rsidP="00656116">
            <w:pPr>
              <w:widowControl w:val="0"/>
              <w:autoSpaceDE w:val="0"/>
              <w:autoSpaceDN w:val="0"/>
              <w:adjustRightInd w:val="0"/>
              <w:jc w:val="center"/>
              <w:outlineLvl w:val="0"/>
              <w:rPr>
                <w:b/>
                <w:bCs/>
                <w:sz w:val="26"/>
                <w:szCs w:val="26"/>
                <w:lang w:val="nl-NL"/>
              </w:rPr>
            </w:pPr>
          </w:p>
          <w:p w:rsidR="00656116" w:rsidRPr="00321B16" w:rsidRDefault="00656116" w:rsidP="00656116">
            <w:pPr>
              <w:widowControl w:val="0"/>
              <w:autoSpaceDE w:val="0"/>
              <w:autoSpaceDN w:val="0"/>
              <w:adjustRightInd w:val="0"/>
              <w:jc w:val="center"/>
              <w:outlineLvl w:val="0"/>
              <w:rPr>
                <w:b/>
                <w:bCs/>
                <w:sz w:val="26"/>
                <w:szCs w:val="26"/>
                <w:lang w:val="nl-NL"/>
              </w:rPr>
            </w:pPr>
          </w:p>
          <w:p w:rsidR="00656116" w:rsidRPr="00321B16" w:rsidRDefault="00656116" w:rsidP="00656116">
            <w:pPr>
              <w:widowControl w:val="0"/>
              <w:autoSpaceDE w:val="0"/>
              <w:autoSpaceDN w:val="0"/>
              <w:adjustRightInd w:val="0"/>
              <w:jc w:val="center"/>
              <w:outlineLvl w:val="0"/>
              <w:rPr>
                <w:b/>
                <w:bCs/>
                <w:sz w:val="20"/>
                <w:szCs w:val="26"/>
                <w:lang w:val="nl-NL"/>
              </w:rPr>
            </w:pPr>
          </w:p>
          <w:p w:rsidR="00656116" w:rsidRPr="00321B16" w:rsidRDefault="00656116" w:rsidP="00656116">
            <w:pPr>
              <w:widowControl w:val="0"/>
              <w:autoSpaceDE w:val="0"/>
              <w:autoSpaceDN w:val="0"/>
              <w:adjustRightInd w:val="0"/>
              <w:outlineLvl w:val="0"/>
              <w:rPr>
                <w:b/>
                <w:bCs/>
                <w:sz w:val="26"/>
                <w:szCs w:val="26"/>
                <w:lang w:val="nl-NL"/>
              </w:rPr>
            </w:pPr>
          </w:p>
          <w:p w:rsidR="00656116" w:rsidRPr="00321B16" w:rsidRDefault="00656116" w:rsidP="00656116">
            <w:pPr>
              <w:widowControl w:val="0"/>
              <w:autoSpaceDE w:val="0"/>
              <w:autoSpaceDN w:val="0"/>
              <w:adjustRightInd w:val="0"/>
              <w:jc w:val="center"/>
              <w:outlineLvl w:val="0"/>
              <w:rPr>
                <w:b/>
                <w:bCs/>
                <w:sz w:val="38"/>
                <w:szCs w:val="26"/>
                <w:lang w:val="nl-NL"/>
              </w:rPr>
            </w:pPr>
          </w:p>
          <w:p w:rsidR="00656116" w:rsidRPr="00065E6C" w:rsidRDefault="00314B38" w:rsidP="000A34FD">
            <w:pPr>
              <w:jc w:val="center"/>
              <w:rPr>
                <w:b/>
                <w:bCs/>
                <w:lang w:val="nl-NL"/>
              </w:rPr>
            </w:pPr>
            <w:r w:rsidRPr="00314B38">
              <w:rPr>
                <w:b/>
                <w:bCs/>
                <w:szCs w:val="26"/>
                <w:lang w:val="nl-NL"/>
              </w:rPr>
              <w:t>Đinh Tiến Dũng</w:t>
            </w:r>
          </w:p>
        </w:tc>
      </w:tr>
    </w:tbl>
    <w:p w:rsidR="00A02B8B" w:rsidRPr="00065E6C" w:rsidRDefault="00A02B8B" w:rsidP="00C60917">
      <w:pPr>
        <w:spacing w:line="220" w:lineRule="exact"/>
        <w:rPr>
          <w:sz w:val="22"/>
          <w:szCs w:val="22"/>
          <w:lang w:val="it-IT"/>
        </w:rPr>
      </w:pPr>
    </w:p>
    <w:sectPr w:rsidR="00A02B8B" w:rsidRPr="00065E6C" w:rsidSect="00F236AD">
      <w:headerReference w:type="even" r:id="rId8"/>
      <w:footerReference w:type="even" r:id="rId9"/>
      <w:footerReference w:type="defaul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E92" w:rsidRDefault="00B92E92">
      <w:r>
        <w:separator/>
      </w:r>
    </w:p>
  </w:endnote>
  <w:endnote w:type="continuationSeparator" w:id="1">
    <w:p w:rsidR="00B92E92" w:rsidRDefault="00B92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92" w:rsidRDefault="007E2AE6" w:rsidP="009A76CB">
    <w:pPr>
      <w:pStyle w:val="Footer"/>
      <w:framePr w:wrap="around" w:vAnchor="text" w:hAnchor="margin" w:xAlign="center" w:y="1"/>
      <w:rPr>
        <w:rStyle w:val="PageNumber"/>
      </w:rPr>
    </w:pPr>
    <w:r>
      <w:rPr>
        <w:rStyle w:val="PageNumber"/>
      </w:rPr>
      <w:fldChar w:fldCharType="begin"/>
    </w:r>
    <w:r w:rsidR="00B92E92">
      <w:rPr>
        <w:rStyle w:val="PageNumber"/>
      </w:rPr>
      <w:instrText xml:space="preserve">PAGE  </w:instrText>
    </w:r>
    <w:r>
      <w:rPr>
        <w:rStyle w:val="PageNumber"/>
      </w:rPr>
      <w:fldChar w:fldCharType="end"/>
    </w:r>
  </w:p>
  <w:p w:rsidR="00B92E92" w:rsidRDefault="00B92E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92" w:rsidRDefault="007E2AE6">
    <w:pPr>
      <w:pStyle w:val="Footer"/>
      <w:jc w:val="right"/>
    </w:pPr>
    <w:fldSimple w:instr=" PAGE   \* MERGEFORMAT ">
      <w:r w:rsidR="00051A64">
        <w:rPr>
          <w:noProof/>
        </w:rPr>
        <w:t>11</w:t>
      </w:r>
    </w:fldSimple>
  </w:p>
  <w:p w:rsidR="00B92E92" w:rsidRDefault="00B92E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2592"/>
      <w:docPartObj>
        <w:docPartGallery w:val="Page Numbers (Bottom of Page)"/>
        <w:docPartUnique/>
      </w:docPartObj>
    </w:sdtPr>
    <w:sdtContent>
      <w:p w:rsidR="00B92E92" w:rsidRDefault="007E2AE6">
        <w:pPr>
          <w:pStyle w:val="Footer"/>
          <w:jc w:val="right"/>
        </w:pPr>
        <w:fldSimple w:instr=" PAGE   \* MERGEFORMAT ">
          <w:r w:rsidR="00051A64">
            <w:rPr>
              <w:noProof/>
            </w:rPr>
            <w:t>1</w:t>
          </w:r>
        </w:fldSimple>
      </w:p>
    </w:sdtContent>
  </w:sdt>
  <w:p w:rsidR="00B92E92" w:rsidRDefault="00B92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E92" w:rsidRDefault="00B92E92">
      <w:r>
        <w:separator/>
      </w:r>
    </w:p>
  </w:footnote>
  <w:footnote w:type="continuationSeparator" w:id="1">
    <w:p w:rsidR="00B92E92" w:rsidRDefault="00B92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92" w:rsidRDefault="007E2AE6" w:rsidP="002A09AA">
    <w:pPr>
      <w:pStyle w:val="Header"/>
      <w:framePr w:wrap="around" w:vAnchor="text" w:hAnchor="margin" w:xAlign="center" w:y="1"/>
      <w:rPr>
        <w:rStyle w:val="PageNumber"/>
      </w:rPr>
    </w:pPr>
    <w:r>
      <w:rPr>
        <w:rStyle w:val="PageNumber"/>
      </w:rPr>
      <w:fldChar w:fldCharType="begin"/>
    </w:r>
    <w:r w:rsidR="00B92E92">
      <w:rPr>
        <w:rStyle w:val="PageNumber"/>
      </w:rPr>
      <w:instrText xml:space="preserve">PAGE  </w:instrText>
    </w:r>
    <w:r>
      <w:rPr>
        <w:rStyle w:val="PageNumber"/>
      </w:rPr>
      <w:fldChar w:fldCharType="end"/>
    </w:r>
  </w:p>
  <w:p w:rsidR="00B92E92" w:rsidRDefault="00B92E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D4A"/>
    <w:multiLevelType w:val="multilevel"/>
    <w:tmpl w:val="649A00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3017699"/>
    <w:multiLevelType w:val="hybridMultilevel"/>
    <w:tmpl w:val="A8E61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A00BE"/>
    <w:multiLevelType w:val="hybridMultilevel"/>
    <w:tmpl w:val="66A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B290E"/>
    <w:multiLevelType w:val="hybridMultilevel"/>
    <w:tmpl w:val="BEC07D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C54336"/>
    <w:multiLevelType w:val="multilevel"/>
    <w:tmpl w:val="F13AD6D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18D042C"/>
    <w:multiLevelType w:val="multilevel"/>
    <w:tmpl w:val="00808A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42E6EE3"/>
    <w:multiLevelType w:val="hybridMultilevel"/>
    <w:tmpl w:val="8272E86A"/>
    <w:lvl w:ilvl="0" w:tplc="BCF6D400">
      <w:start w:val="3"/>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nsid w:val="1461012A"/>
    <w:multiLevelType w:val="hybridMultilevel"/>
    <w:tmpl w:val="0784D51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E249CB"/>
    <w:multiLevelType w:val="hybridMultilevel"/>
    <w:tmpl w:val="3C0E3778"/>
    <w:lvl w:ilvl="0" w:tplc="869E061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7F1C9B"/>
    <w:multiLevelType w:val="hybridMultilevel"/>
    <w:tmpl w:val="30FA3FF0"/>
    <w:lvl w:ilvl="0" w:tplc="DF02030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8A413F"/>
    <w:multiLevelType w:val="multilevel"/>
    <w:tmpl w:val="ECDAF1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DF04740"/>
    <w:multiLevelType w:val="hybridMultilevel"/>
    <w:tmpl w:val="840E7574"/>
    <w:lvl w:ilvl="0" w:tplc="260C0C4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00702A"/>
    <w:multiLevelType w:val="hybridMultilevel"/>
    <w:tmpl w:val="E7100B8C"/>
    <w:lvl w:ilvl="0" w:tplc="847C24B0">
      <w:start w:val="4"/>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7BF151A"/>
    <w:multiLevelType w:val="hybridMultilevel"/>
    <w:tmpl w:val="A490A69A"/>
    <w:lvl w:ilvl="0" w:tplc="EFB49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1862AA"/>
    <w:multiLevelType w:val="hybridMultilevel"/>
    <w:tmpl w:val="0804C2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BE3F7A"/>
    <w:multiLevelType w:val="hybridMultilevel"/>
    <w:tmpl w:val="E4B6BBD4"/>
    <w:lvl w:ilvl="0" w:tplc="CBDE7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B4F4073"/>
    <w:multiLevelType w:val="hybridMultilevel"/>
    <w:tmpl w:val="BB68FE62"/>
    <w:lvl w:ilvl="0" w:tplc="EEC6A3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0C31D7"/>
    <w:multiLevelType w:val="hybridMultilevel"/>
    <w:tmpl w:val="ECDAF1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2FC2E3C"/>
    <w:multiLevelType w:val="hybridMultilevel"/>
    <w:tmpl w:val="E564CDCA"/>
    <w:lvl w:ilvl="0" w:tplc="B1325D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7422CFB"/>
    <w:multiLevelType w:val="hybridMultilevel"/>
    <w:tmpl w:val="70B8C61A"/>
    <w:lvl w:ilvl="0" w:tplc="07E890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7823CE4"/>
    <w:multiLevelType w:val="multilevel"/>
    <w:tmpl w:val="517206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383E5CBB"/>
    <w:multiLevelType w:val="hybridMultilevel"/>
    <w:tmpl w:val="35183178"/>
    <w:lvl w:ilvl="0" w:tplc="ED6CFED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8822055"/>
    <w:multiLevelType w:val="hybridMultilevel"/>
    <w:tmpl w:val="7206B9B4"/>
    <w:lvl w:ilvl="0" w:tplc="D98AFA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E239D6"/>
    <w:multiLevelType w:val="hybridMultilevel"/>
    <w:tmpl w:val="AAB2E746"/>
    <w:lvl w:ilvl="0" w:tplc="9FD40204">
      <w:start w:val="1"/>
      <w:numFmt w:val="decimal"/>
      <w:lvlText w:val="%1."/>
      <w:lvlJc w:val="left"/>
      <w:pPr>
        <w:ind w:left="1495" w:hanging="360"/>
      </w:pPr>
      <w:rPr>
        <w:rFonts w:hint="default"/>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24">
    <w:nsid w:val="3E810B78"/>
    <w:multiLevelType w:val="hybridMultilevel"/>
    <w:tmpl w:val="599C1A04"/>
    <w:lvl w:ilvl="0" w:tplc="9834AE90">
      <w:start w:val="4"/>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5">
    <w:nsid w:val="456A4088"/>
    <w:multiLevelType w:val="multilevel"/>
    <w:tmpl w:val="CF14E64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48DB4315"/>
    <w:multiLevelType w:val="hybridMultilevel"/>
    <w:tmpl w:val="D3E8274A"/>
    <w:lvl w:ilvl="0" w:tplc="61DA6C8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71262F"/>
    <w:multiLevelType w:val="hybridMultilevel"/>
    <w:tmpl w:val="CCD49104"/>
    <w:lvl w:ilvl="0" w:tplc="9D821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E21F69"/>
    <w:multiLevelType w:val="hybridMultilevel"/>
    <w:tmpl w:val="D58ACC74"/>
    <w:lvl w:ilvl="0" w:tplc="51E66CE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880E68"/>
    <w:multiLevelType w:val="multilevel"/>
    <w:tmpl w:val="00808A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4EBA7818"/>
    <w:multiLevelType w:val="hybridMultilevel"/>
    <w:tmpl w:val="BF7465BE"/>
    <w:lvl w:ilvl="0" w:tplc="ECF89766">
      <w:start w:val="1"/>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F1F1949"/>
    <w:multiLevelType w:val="hybridMultilevel"/>
    <w:tmpl w:val="A3846918"/>
    <w:lvl w:ilvl="0" w:tplc="3F9E10B0">
      <w:start w:val="4"/>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nsid w:val="57FB06AD"/>
    <w:multiLevelType w:val="hybridMultilevel"/>
    <w:tmpl w:val="C98C96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D059C4"/>
    <w:multiLevelType w:val="hybridMultilevel"/>
    <w:tmpl w:val="88CA38A8"/>
    <w:lvl w:ilvl="0" w:tplc="12CC591A">
      <w:start w:val="1"/>
      <w:numFmt w:val="decimal"/>
      <w:lvlText w:val="%1."/>
      <w:lvlJc w:val="left"/>
      <w:pPr>
        <w:ind w:left="1211" w:hanging="360"/>
      </w:pPr>
      <w:rPr>
        <w:rFonts w:hint="default"/>
        <w:b/>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5D735E4E"/>
    <w:multiLevelType w:val="multilevel"/>
    <w:tmpl w:val="0D6667E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5E0E16B8"/>
    <w:multiLevelType w:val="hybridMultilevel"/>
    <w:tmpl w:val="848C7BC2"/>
    <w:lvl w:ilvl="0" w:tplc="253A6D7E">
      <w:start w:val="1"/>
      <w:numFmt w:val="upperLetter"/>
      <w:lvlText w:val="%1."/>
      <w:lvlJc w:val="left"/>
      <w:pPr>
        <w:tabs>
          <w:tab w:val="num" w:pos="900"/>
        </w:tabs>
        <w:ind w:left="90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5FD82AB8"/>
    <w:multiLevelType w:val="hybridMultilevel"/>
    <w:tmpl w:val="3BA46E6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2094572"/>
    <w:multiLevelType w:val="hybridMultilevel"/>
    <w:tmpl w:val="2D64D552"/>
    <w:lvl w:ilvl="0" w:tplc="A9B6390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79169BB"/>
    <w:multiLevelType w:val="hybridMultilevel"/>
    <w:tmpl w:val="5F0484A2"/>
    <w:lvl w:ilvl="0" w:tplc="5C7A1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4D6388"/>
    <w:multiLevelType w:val="hybridMultilevel"/>
    <w:tmpl w:val="CD7A777E"/>
    <w:lvl w:ilvl="0" w:tplc="C316BAF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6A55136B"/>
    <w:multiLevelType w:val="hybridMultilevel"/>
    <w:tmpl w:val="98940F7C"/>
    <w:lvl w:ilvl="0" w:tplc="699878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EAD2391"/>
    <w:multiLevelType w:val="hybridMultilevel"/>
    <w:tmpl w:val="4FB40882"/>
    <w:lvl w:ilvl="0" w:tplc="FC0AA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0A7B73"/>
    <w:multiLevelType w:val="hybridMultilevel"/>
    <w:tmpl w:val="EB0600B2"/>
    <w:lvl w:ilvl="0" w:tplc="07ACA154">
      <w:numFmt w:val="bullet"/>
      <w:pStyle w:val="P3"/>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3F07EDA"/>
    <w:multiLevelType w:val="hybridMultilevel"/>
    <w:tmpl w:val="D8B430D4"/>
    <w:lvl w:ilvl="0" w:tplc="0630AD60">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44">
    <w:nsid w:val="7A3E00A8"/>
    <w:multiLevelType w:val="hybridMultilevel"/>
    <w:tmpl w:val="EEC0F246"/>
    <w:lvl w:ilvl="0" w:tplc="2FFE6D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5">
    <w:nsid w:val="7A514807"/>
    <w:multiLevelType w:val="hybridMultilevel"/>
    <w:tmpl w:val="11DA37EC"/>
    <w:lvl w:ilvl="0" w:tplc="2E1074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D156605"/>
    <w:multiLevelType w:val="hybridMultilevel"/>
    <w:tmpl w:val="4ABCA6E0"/>
    <w:lvl w:ilvl="0" w:tplc="E45C2D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nsid w:val="7D2A0286"/>
    <w:multiLevelType w:val="hybridMultilevel"/>
    <w:tmpl w:val="7CAA1AFE"/>
    <w:lvl w:ilvl="0" w:tplc="C2EC751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4"/>
  </w:num>
  <w:num w:numId="5">
    <w:abstractNumId w:val="19"/>
  </w:num>
  <w:num w:numId="6">
    <w:abstractNumId w:val="22"/>
  </w:num>
  <w:num w:numId="7">
    <w:abstractNumId w:val="12"/>
  </w:num>
  <w:num w:numId="8">
    <w:abstractNumId w:val="38"/>
  </w:num>
  <w:num w:numId="9">
    <w:abstractNumId w:val="27"/>
  </w:num>
  <w:num w:numId="10">
    <w:abstractNumId w:val="15"/>
  </w:num>
  <w:num w:numId="11">
    <w:abstractNumId w:val="21"/>
  </w:num>
  <w:num w:numId="12">
    <w:abstractNumId w:val="30"/>
  </w:num>
  <w:num w:numId="13">
    <w:abstractNumId w:val="17"/>
  </w:num>
  <w:num w:numId="14">
    <w:abstractNumId w:val="7"/>
  </w:num>
  <w:num w:numId="15">
    <w:abstractNumId w:val="45"/>
  </w:num>
  <w:num w:numId="16">
    <w:abstractNumId w:val="37"/>
  </w:num>
  <w:num w:numId="17">
    <w:abstractNumId w:val="18"/>
  </w:num>
  <w:num w:numId="18">
    <w:abstractNumId w:val="26"/>
  </w:num>
  <w:num w:numId="19">
    <w:abstractNumId w:val="10"/>
  </w:num>
  <w:num w:numId="20">
    <w:abstractNumId w:val="32"/>
  </w:num>
  <w:num w:numId="21">
    <w:abstractNumId w:val="16"/>
  </w:num>
  <w:num w:numId="22">
    <w:abstractNumId w:val="3"/>
  </w:num>
  <w:num w:numId="23">
    <w:abstractNumId w:val="43"/>
  </w:num>
  <w:num w:numId="24">
    <w:abstractNumId w:val="28"/>
  </w:num>
  <w:num w:numId="25">
    <w:abstractNumId w:val="25"/>
  </w:num>
  <w:num w:numId="26">
    <w:abstractNumId w:val="0"/>
  </w:num>
  <w:num w:numId="27">
    <w:abstractNumId w:val="20"/>
  </w:num>
  <w:num w:numId="28">
    <w:abstractNumId w:val="36"/>
  </w:num>
  <w:num w:numId="29">
    <w:abstractNumId w:val="8"/>
  </w:num>
  <w:num w:numId="30">
    <w:abstractNumId w:val="24"/>
  </w:num>
  <w:num w:numId="31">
    <w:abstractNumId w:val="35"/>
  </w:num>
  <w:num w:numId="32">
    <w:abstractNumId w:val="2"/>
  </w:num>
  <w:num w:numId="33">
    <w:abstractNumId w:val="31"/>
  </w:num>
  <w:num w:numId="34">
    <w:abstractNumId w:val="33"/>
  </w:num>
  <w:num w:numId="35">
    <w:abstractNumId w:val="40"/>
  </w:num>
  <w:num w:numId="36">
    <w:abstractNumId w:val="11"/>
  </w:num>
  <w:num w:numId="37">
    <w:abstractNumId w:val="44"/>
  </w:num>
  <w:num w:numId="38">
    <w:abstractNumId w:val="42"/>
  </w:num>
  <w:num w:numId="39">
    <w:abstractNumId w:val="34"/>
  </w:num>
  <w:num w:numId="40">
    <w:abstractNumId w:val="4"/>
  </w:num>
  <w:num w:numId="41">
    <w:abstractNumId w:val="6"/>
  </w:num>
  <w:num w:numId="42">
    <w:abstractNumId w:val="13"/>
  </w:num>
  <w:num w:numId="43">
    <w:abstractNumId w:val="41"/>
  </w:num>
  <w:num w:numId="44">
    <w:abstractNumId w:val="23"/>
  </w:num>
  <w:num w:numId="45">
    <w:abstractNumId w:val="46"/>
  </w:num>
  <w:num w:numId="46">
    <w:abstractNumId w:val="29"/>
  </w:num>
  <w:num w:numId="47">
    <w:abstractNumId w:val="5"/>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4A02ED"/>
    <w:rsid w:val="00006257"/>
    <w:rsid w:val="00006FB1"/>
    <w:rsid w:val="00010CD3"/>
    <w:rsid w:val="00015E4F"/>
    <w:rsid w:val="00020684"/>
    <w:rsid w:val="0002184E"/>
    <w:rsid w:val="000234D3"/>
    <w:rsid w:val="00025384"/>
    <w:rsid w:val="00025489"/>
    <w:rsid w:val="0003150D"/>
    <w:rsid w:val="00032086"/>
    <w:rsid w:val="0003410B"/>
    <w:rsid w:val="00035740"/>
    <w:rsid w:val="00036418"/>
    <w:rsid w:val="00040E19"/>
    <w:rsid w:val="00043380"/>
    <w:rsid w:val="00046A8F"/>
    <w:rsid w:val="00047ACF"/>
    <w:rsid w:val="00051A64"/>
    <w:rsid w:val="00055CC9"/>
    <w:rsid w:val="00055CD4"/>
    <w:rsid w:val="00056CAA"/>
    <w:rsid w:val="0005796B"/>
    <w:rsid w:val="0006365E"/>
    <w:rsid w:val="00064FEC"/>
    <w:rsid w:val="00065E6C"/>
    <w:rsid w:val="00070771"/>
    <w:rsid w:val="00071ADA"/>
    <w:rsid w:val="00071E30"/>
    <w:rsid w:val="0008042A"/>
    <w:rsid w:val="000808B9"/>
    <w:rsid w:val="00086D92"/>
    <w:rsid w:val="00086FC5"/>
    <w:rsid w:val="000914C4"/>
    <w:rsid w:val="00092A3C"/>
    <w:rsid w:val="000A1F36"/>
    <w:rsid w:val="000A2EA8"/>
    <w:rsid w:val="000A34FD"/>
    <w:rsid w:val="000B24FD"/>
    <w:rsid w:val="000B2E9E"/>
    <w:rsid w:val="000B50C4"/>
    <w:rsid w:val="000B69D5"/>
    <w:rsid w:val="000C079C"/>
    <w:rsid w:val="000C1513"/>
    <w:rsid w:val="000C4427"/>
    <w:rsid w:val="000D2E97"/>
    <w:rsid w:val="000D628E"/>
    <w:rsid w:val="000E02D2"/>
    <w:rsid w:val="000E3506"/>
    <w:rsid w:val="000F3D8A"/>
    <w:rsid w:val="000F5EA5"/>
    <w:rsid w:val="000F6277"/>
    <w:rsid w:val="00112DE5"/>
    <w:rsid w:val="0012243E"/>
    <w:rsid w:val="00132E0F"/>
    <w:rsid w:val="001346FF"/>
    <w:rsid w:val="00136C3F"/>
    <w:rsid w:val="001414EF"/>
    <w:rsid w:val="00141A73"/>
    <w:rsid w:val="00144172"/>
    <w:rsid w:val="0014709B"/>
    <w:rsid w:val="001538AD"/>
    <w:rsid w:val="00154498"/>
    <w:rsid w:val="001617F6"/>
    <w:rsid w:val="00166231"/>
    <w:rsid w:val="00170527"/>
    <w:rsid w:val="001714D8"/>
    <w:rsid w:val="00174FF8"/>
    <w:rsid w:val="00176944"/>
    <w:rsid w:val="001813E3"/>
    <w:rsid w:val="00185D15"/>
    <w:rsid w:val="00187881"/>
    <w:rsid w:val="001907A0"/>
    <w:rsid w:val="001926F1"/>
    <w:rsid w:val="001948D3"/>
    <w:rsid w:val="00195585"/>
    <w:rsid w:val="001A42BF"/>
    <w:rsid w:val="001A5688"/>
    <w:rsid w:val="001A5897"/>
    <w:rsid w:val="001A5EDF"/>
    <w:rsid w:val="001A61FD"/>
    <w:rsid w:val="001A77CC"/>
    <w:rsid w:val="001B0A4E"/>
    <w:rsid w:val="001B1182"/>
    <w:rsid w:val="001B24C9"/>
    <w:rsid w:val="001B5EF9"/>
    <w:rsid w:val="001C51E4"/>
    <w:rsid w:val="001D253B"/>
    <w:rsid w:val="001D2C5F"/>
    <w:rsid w:val="001D4864"/>
    <w:rsid w:val="001D6E56"/>
    <w:rsid w:val="001E0141"/>
    <w:rsid w:val="001E28FF"/>
    <w:rsid w:val="001E67DD"/>
    <w:rsid w:val="001F110A"/>
    <w:rsid w:val="001F165D"/>
    <w:rsid w:val="001F71E0"/>
    <w:rsid w:val="0020003F"/>
    <w:rsid w:val="00210488"/>
    <w:rsid w:val="00211EC2"/>
    <w:rsid w:val="00213604"/>
    <w:rsid w:val="002149CB"/>
    <w:rsid w:val="00214FAE"/>
    <w:rsid w:val="00227F3A"/>
    <w:rsid w:val="00232873"/>
    <w:rsid w:val="00236ABB"/>
    <w:rsid w:val="00236BEC"/>
    <w:rsid w:val="00237AAB"/>
    <w:rsid w:val="00240FE1"/>
    <w:rsid w:val="002415AA"/>
    <w:rsid w:val="00241A82"/>
    <w:rsid w:val="00243999"/>
    <w:rsid w:val="002473D7"/>
    <w:rsid w:val="00252DFD"/>
    <w:rsid w:val="002632B2"/>
    <w:rsid w:val="002659A1"/>
    <w:rsid w:val="00270776"/>
    <w:rsid w:val="0027415B"/>
    <w:rsid w:val="00275B39"/>
    <w:rsid w:val="00277234"/>
    <w:rsid w:val="00280223"/>
    <w:rsid w:val="002807A6"/>
    <w:rsid w:val="002813C0"/>
    <w:rsid w:val="00285B0E"/>
    <w:rsid w:val="00290530"/>
    <w:rsid w:val="00292CD6"/>
    <w:rsid w:val="00297DE6"/>
    <w:rsid w:val="002A09AA"/>
    <w:rsid w:val="002A663B"/>
    <w:rsid w:val="002B0B8E"/>
    <w:rsid w:val="002B42DA"/>
    <w:rsid w:val="002B59B9"/>
    <w:rsid w:val="002C0D52"/>
    <w:rsid w:val="002C129A"/>
    <w:rsid w:val="002C1F0D"/>
    <w:rsid w:val="002C6FE7"/>
    <w:rsid w:val="002C77AF"/>
    <w:rsid w:val="002D3AE5"/>
    <w:rsid w:val="002E08E1"/>
    <w:rsid w:val="002E278F"/>
    <w:rsid w:val="002F13C2"/>
    <w:rsid w:val="002F1A5B"/>
    <w:rsid w:val="002F1B70"/>
    <w:rsid w:val="002F1DF3"/>
    <w:rsid w:val="002F3777"/>
    <w:rsid w:val="003043E5"/>
    <w:rsid w:val="00314B38"/>
    <w:rsid w:val="00317D58"/>
    <w:rsid w:val="00321B16"/>
    <w:rsid w:val="00344FE6"/>
    <w:rsid w:val="003522DD"/>
    <w:rsid w:val="003569FD"/>
    <w:rsid w:val="00365FF7"/>
    <w:rsid w:val="003677F8"/>
    <w:rsid w:val="0037033F"/>
    <w:rsid w:val="00372043"/>
    <w:rsid w:val="003723A9"/>
    <w:rsid w:val="003750CD"/>
    <w:rsid w:val="0038074B"/>
    <w:rsid w:val="00386C5A"/>
    <w:rsid w:val="00395C40"/>
    <w:rsid w:val="00395CA8"/>
    <w:rsid w:val="00396F49"/>
    <w:rsid w:val="00397865"/>
    <w:rsid w:val="003A41AD"/>
    <w:rsid w:val="003A4AA3"/>
    <w:rsid w:val="003A670E"/>
    <w:rsid w:val="003B31F3"/>
    <w:rsid w:val="003C041A"/>
    <w:rsid w:val="003C0A48"/>
    <w:rsid w:val="003C299B"/>
    <w:rsid w:val="003C77C8"/>
    <w:rsid w:val="003D26AE"/>
    <w:rsid w:val="003E0633"/>
    <w:rsid w:val="003E1168"/>
    <w:rsid w:val="003E1B5D"/>
    <w:rsid w:val="003E55D5"/>
    <w:rsid w:val="003E78AF"/>
    <w:rsid w:val="003F07A8"/>
    <w:rsid w:val="003F38FD"/>
    <w:rsid w:val="003F4A0F"/>
    <w:rsid w:val="00414432"/>
    <w:rsid w:val="0042027A"/>
    <w:rsid w:val="004259C6"/>
    <w:rsid w:val="00436771"/>
    <w:rsid w:val="00436D5F"/>
    <w:rsid w:val="00445E04"/>
    <w:rsid w:val="00451CD5"/>
    <w:rsid w:val="00453E14"/>
    <w:rsid w:val="00454206"/>
    <w:rsid w:val="00455892"/>
    <w:rsid w:val="00456E2E"/>
    <w:rsid w:val="004647A9"/>
    <w:rsid w:val="00465D99"/>
    <w:rsid w:val="00467906"/>
    <w:rsid w:val="00475080"/>
    <w:rsid w:val="004752C8"/>
    <w:rsid w:val="00480E12"/>
    <w:rsid w:val="0048667E"/>
    <w:rsid w:val="0049194B"/>
    <w:rsid w:val="00492EA5"/>
    <w:rsid w:val="004947D2"/>
    <w:rsid w:val="004A02ED"/>
    <w:rsid w:val="004A1E78"/>
    <w:rsid w:val="004A239C"/>
    <w:rsid w:val="004B17C4"/>
    <w:rsid w:val="004C7102"/>
    <w:rsid w:val="004D2070"/>
    <w:rsid w:val="004D2F36"/>
    <w:rsid w:val="004D4447"/>
    <w:rsid w:val="004D59AB"/>
    <w:rsid w:val="004D7520"/>
    <w:rsid w:val="004D7A16"/>
    <w:rsid w:val="004E2766"/>
    <w:rsid w:val="004E27B4"/>
    <w:rsid w:val="004E4CEE"/>
    <w:rsid w:val="004F2FE4"/>
    <w:rsid w:val="00515DFA"/>
    <w:rsid w:val="0052237C"/>
    <w:rsid w:val="005224C8"/>
    <w:rsid w:val="005228F1"/>
    <w:rsid w:val="00522B29"/>
    <w:rsid w:val="00525549"/>
    <w:rsid w:val="00526939"/>
    <w:rsid w:val="00542200"/>
    <w:rsid w:val="0054297A"/>
    <w:rsid w:val="00542B7A"/>
    <w:rsid w:val="00545A2E"/>
    <w:rsid w:val="00546B00"/>
    <w:rsid w:val="005530B6"/>
    <w:rsid w:val="00553CA9"/>
    <w:rsid w:val="00554DA6"/>
    <w:rsid w:val="00562265"/>
    <w:rsid w:val="00565F12"/>
    <w:rsid w:val="00565FA8"/>
    <w:rsid w:val="00571F99"/>
    <w:rsid w:val="005722A5"/>
    <w:rsid w:val="00573CD9"/>
    <w:rsid w:val="00580C7D"/>
    <w:rsid w:val="005824CE"/>
    <w:rsid w:val="00582E6E"/>
    <w:rsid w:val="0059086C"/>
    <w:rsid w:val="00591F17"/>
    <w:rsid w:val="005944DD"/>
    <w:rsid w:val="00595912"/>
    <w:rsid w:val="005A104A"/>
    <w:rsid w:val="005A1B52"/>
    <w:rsid w:val="005A6490"/>
    <w:rsid w:val="005A770C"/>
    <w:rsid w:val="005B0AA5"/>
    <w:rsid w:val="005C0564"/>
    <w:rsid w:val="005E4C20"/>
    <w:rsid w:val="005F2BEC"/>
    <w:rsid w:val="005F4A49"/>
    <w:rsid w:val="00610BD4"/>
    <w:rsid w:val="00614943"/>
    <w:rsid w:val="00615656"/>
    <w:rsid w:val="0062169A"/>
    <w:rsid w:val="00623E4A"/>
    <w:rsid w:val="00624EFF"/>
    <w:rsid w:val="00625213"/>
    <w:rsid w:val="00626139"/>
    <w:rsid w:val="00630871"/>
    <w:rsid w:val="00631E85"/>
    <w:rsid w:val="006331D8"/>
    <w:rsid w:val="00634BEC"/>
    <w:rsid w:val="00644E4E"/>
    <w:rsid w:val="00650023"/>
    <w:rsid w:val="0065021B"/>
    <w:rsid w:val="00654422"/>
    <w:rsid w:val="00655436"/>
    <w:rsid w:val="00656116"/>
    <w:rsid w:val="00660B9A"/>
    <w:rsid w:val="00663C00"/>
    <w:rsid w:val="00663D84"/>
    <w:rsid w:val="00665D7E"/>
    <w:rsid w:val="00673B88"/>
    <w:rsid w:val="00675E47"/>
    <w:rsid w:val="0067695E"/>
    <w:rsid w:val="00681196"/>
    <w:rsid w:val="006854AF"/>
    <w:rsid w:val="006869B2"/>
    <w:rsid w:val="00691CA7"/>
    <w:rsid w:val="00692E73"/>
    <w:rsid w:val="0069397E"/>
    <w:rsid w:val="0069533A"/>
    <w:rsid w:val="006A09AD"/>
    <w:rsid w:val="006A2D09"/>
    <w:rsid w:val="006A5C20"/>
    <w:rsid w:val="006A60C1"/>
    <w:rsid w:val="006B14C0"/>
    <w:rsid w:val="006B3DFB"/>
    <w:rsid w:val="006B4007"/>
    <w:rsid w:val="006B41B2"/>
    <w:rsid w:val="006B63FF"/>
    <w:rsid w:val="006C009D"/>
    <w:rsid w:val="006C0324"/>
    <w:rsid w:val="006C5A16"/>
    <w:rsid w:val="006D3E09"/>
    <w:rsid w:val="006D5E26"/>
    <w:rsid w:val="006E7A1A"/>
    <w:rsid w:val="006F07DF"/>
    <w:rsid w:val="006F1DF3"/>
    <w:rsid w:val="007037A1"/>
    <w:rsid w:val="00703DC2"/>
    <w:rsid w:val="0070414D"/>
    <w:rsid w:val="00705FE5"/>
    <w:rsid w:val="00707D86"/>
    <w:rsid w:val="00716501"/>
    <w:rsid w:val="0072103C"/>
    <w:rsid w:val="00727D4C"/>
    <w:rsid w:val="00732B9F"/>
    <w:rsid w:val="007341AC"/>
    <w:rsid w:val="00734446"/>
    <w:rsid w:val="00734A8D"/>
    <w:rsid w:val="00740F3D"/>
    <w:rsid w:val="0074284F"/>
    <w:rsid w:val="007532DB"/>
    <w:rsid w:val="007545B2"/>
    <w:rsid w:val="00756738"/>
    <w:rsid w:val="00770AAD"/>
    <w:rsid w:val="007719BD"/>
    <w:rsid w:val="00771A56"/>
    <w:rsid w:val="00772C78"/>
    <w:rsid w:val="0077475C"/>
    <w:rsid w:val="0078080D"/>
    <w:rsid w:val="00786807"/>
    <w:rsid w:val="00786957"/>
    <w:rsid w:val="00786D9A"/>
    <w:rsid w:val="007877CF"/>
    <w:rsid w:val="00787E90"/>
    <w:rsid w:val="007928B0"/>
    <w:rsid w:val="007937E6"/>
    <w:rsid w:val="0079679D"/>
    <w:rsid w:val="007A1027"/>
    <w:rsid w:val="007A155B"/>
    <w:rsid w:val="007A57C3"/>
    <w:rsid w:val="007A5D01"/>
    <w:rsid w:val="007A6F4C"/>
    <w:rsid w:val="007A77C5"/>
    <w:rsid w:val="007B14C7"/>
    <w:rsid w:val="007B3214"/>
    <w:rsid w:val="007C2B05"/>
    <w:rsid w:val="007C2FE7"/>
    <w:rsid w:val="007C377C"/>
    <w:rsid w:val="007D3A44"/>
    <w:rsid w:val="007D6F3A"/>
    <w:rsid w:val="007D73ED"/>
    <w:rsid w:val="007D7747"/>
    <w:rsid w:val="007E169A"/>
    <w:rsid w:val="007E1BA7"/>
    <w:rsid w:val="007E2AE6"/>
    <w:rsid w:val="007E77E3"/>
    <w:rsid w:val="007F41AA"/>
    <w:rsid w:val="007F542F"/>
    <w:rsid w:val="007F553B"/>
    <w:rsid w:val="007F71C8"/>
    <w:rsid w:val="00807001"/>
    <w:rsid w:val="00810E49"/>
    <w:rsid w:val="008217C2"/>
    <w:rsid w:val="00821E56"/>
    <w:rsid w:val="008232E9"/>
    <w:rsid w:val="00827013"/>
    <w:rsid w:val="00827ECC"/>
    <w:rsid w:val="00833CB0"/>
    <w:rsid w:val="00835B0F"/>
    <w:rsid w:val="00835D87"/>
    <w:rsid w:val="00835E75"/>
    <w:rsid w:val="008363F6"/>
    <w:rsid w:val="00856E53"/>
    <w:rsid w:val="0086431C"/>
    <w:rsid w:val="0086439B"/>
    <w:rsid w:val="00874380"/>
    <w:rsid w:val="0087588D"/>
    <w:rsid w:val="00875F71"/>
    <w:rsid w:val="008767C4"/>
    <w:rsid w:val="008773DF"/>
    <w:rsid w:val="0088151F"/>
    <w:rsid w:val="0088268C"/>
    <w:rsid w:val="00883B1C"/>
    <w:rsid w:val="008870A3"/>
    <w:rsid w:val="0089138D"/>
    <w:rsid w:val="0089329B"/>
    <w:rsid w:val="008951D8"/>
    <w:rsid w:val="008A0EE9"/>
    <w:rsid w:val="008A2404"/>
    <w:rsid w:val="008A38F5"/>
    <w:rsid w:val="008B419D"/>
    <w:rsid w:val="008B6AB9"/>
    <w:rsid w:val="008C08E6"/>
    <w:rsid w:val="008D0643"/>
    <w:rsid w:val="008D1B75"/>
    <w:rsid w:val="008D43DD"/>
    <w:rsid w:val="008D44E6"/>
    <w:rsid w:val="008D5296"/>
    <w:rsid w:val="008D5F07"/>
    <w:rsid w:val="008E3583"/>
    <w:rsid w:val="008E7E05"/>
    <w:rsid w:val="008F7E96"/>
    <w:rsid w:val="00900A1D"/>
    <w:rsid w:val="009028DE"/>
    <w:rsid w:val="00910824"/>
    <w:rsid w:val="0091126F"/>
    <w:rsid w:val="00915E76"/>
    <w:rsid w:val="00916E5A"/>
    <w:rsid w:val="00917DE9"/>
    <w:rsid w:val="0092698C"/>
    <w:rsid w:val="0092799B"/>
    <w:rsid w:val="00933FA2"/>
    <w:rsid w:val="00935A07"/>
    <w:rsid w:val="009417A0"/>
    <w:rsid w:val="009427C1"/>
    <w:rsid w:val="00944624"/>
    <w:rsid w:val="00947B83"/>
    <w:rsid w:val="00947F7C"/>
    <w:rsid w:val="00952707"/>
    <w:rsid w:val="009555B6"/>
    <w:rsid w:val="009566DB"/>
    <w:rsid w:val="0096398B"/>
    <w:rsid w:val="009700DD"/>
    <w:rsid w:val="00971256"/>
    <w:rsid w:val="009726C1"/>
    <w:rsid w:val="009735A1"/>
    <w:rsid w:val="00975AA7"/>
    <w:rsid w:val="00977051"/>
    <w:rsid w:val="00977141"/>
    <w:rsid w:val="009815F7"/>
    <w:rsid w:val="00985805"/>
    <w:rsid w:val="0098779C"/>
    <w:rsid w:val="0099186C"/>
    <w:rsid w:val="009948C8"/>
    <w:rsid w:val="009951D6"/>
    <w:rsid w:val="009A76CB"/>
    <w:rsid w:val="009B2E1A"/>
    <w:rsid w:val="009B61EE"/>
    <w:rsid w:val="009B6458"/>
    <w:rsid w:val="009D1832"/>
    <w:rsid w:val="009D2569"/>
    <w:rsid w:val="009D408C"/>
    <w:rsid w:val="009F365A"/>
    <w:rsid w:val="009F54F4"/>
    <w:rsid w:val="00A009A7"/>
    <w:rsid w:val="00A02B8B"/>
    <w:rsid w:val="00A102B9"/>
    <w:rsid w:val="00A12C06"/>
    <w:rsid w:val="00A161DD"/>
    <w:rsid w:val="00A2535A"/>
    <w:rsid w:val="00A2713F"/>
    <w:rsid w:val="00A378A5"/>
    <w:rsid w:val="00A43B0B"/>
    <w:rsid w:val="00A46250"/>
    <w:rsid w:val="00A47D37"/>
    <w:rsid w:val="00A635ED"/>
    <w:rsid w:val="00A64FC3"/>
    <w:rsid w:val="00A7163D"/>
    <w:rsid w:val="00A736AB"/>
    <w:rsid w:val="00A759FA"/>
    <w:rsid w:val="00A83170"/>
    <w:rsid w:val="00A86DAA"/>
    <w:rsid w:val="00A906B5"/>
    <w:rsid w:val="00A90B67"/>
    <w:rsid w:val="00A97621"/>
    <w:rsid w:val="00AA3562"/>
    <w:rsid w:val="00AA356A"/>
    <w:rsid w:val="00AA37BC"/>
    <w:rsid w:val="00AA6BEE"/>
    <w:rsid w:val="00AB29ED"/>
    <w:rsid w:val="00AB4493"/>
    <w:rsid w:val="00AB562A"/>
    <w:rsid w:val="00AC1075"/>
    <w:rsid w:val="00AC15D9"/>
    <w:rsid w:val="00AD256E"/>
    <w:rsid w:val="00AD3572"/>
    <w:rsid w:val="00AF104D"/>
    <w:rsid w:val="00AF43ED"/>
    <w:rsid w:val="00B106F8"/>
    <w:rsid w:val="00B10DA0"/>
    <w:rsid w:val="00B1313D"/>
    <w:rsid w:val="00B136AF"/>
    <w:rsid w:val="00B37D08"/>
    <w:rsid w:val="00B47538"/>
    <w:rsid w:val="00B52877"/>
    <w:rsid w:val="00B569EC"/>
    <w:rsid w:val="00B61396"/>
    <w:rsid w:val="00B6233B"/>
    <w:rsid w:val="00B639E7"/>
    <w:rsid w:val="00B747EA"/>
    <w:rsid w:val="00B74AA7"/>
    <w:rsid w:val="00B7524C"/>
    <w:rsid w:val="00B75E02"/>
    <w:rsid w:val="00B80F94"/>
    <w:rsid w:val="00B852EE"/>
    <w:rsid w:val="00B85854"/>
    <w:rsid w:val="00B92E92"/>
    <w:rsid w:val="00B93877"/>
    <w:rsid w:val="00B94F80"/>
    <w:rsid w:val="00B9710C"/>
    <w:rsid w:val="00BA0CD2"/>
    <w:rsid w:val="00BA5182"/>
    <w:rsid w:val="00BA53F5"/>
    <w:rsid w:val="00BA6223"/>
    <w:rsid w:val="00BA7A04"/>
    <w:rsid w:val="00BB2690"/>
    <w:rsid w:val="00BB535B"/>
    <w:rsid w:val="00BB7C1D"/>
    <w:rsid w:val="00BC2653"/>
    <w:rsid w:val="00BC3E26"/>
    <w:rsid w:val="00BC4380"/>
    <w:rsid w:val="00BC6B70"/>
    <w:rsid w:val="00BC6FF1"/>
    <w:rsid w:val="00BC78D5"/>
    <w:rsid w:val="00BD520A"/>
    <w:rsid w:val="00BD6F4C"/>
    <w:rsid w:val="00BE31EC"/>
    <w:rsid w:val="00BE3CB0"/>
    <w:rsid w:val="00BF15CF"/>
    <w:rsid w:val="00BF4146"/>
    <w:rsid w:val="00BF7675"/>
    <w:rsid w:val="00C01184"/>
    <w:rsid w:val="00C0143F"/>
    <w:rsid w:val="00C01549"/>
    <w:rsid w:val="00C11494"/>
    <w:rsid w:val="00C16589"/>
    <w:rsid w:val="00C1722D"/>
    <w:rsid w:val="00C229B7"/>
    <w:rsid w:val="00C22C81"/>
    <w:rsid w:val="00C23306"/>
    <w:rsid w:val="00C256BA"/>
    <w:rsid w:val="00C36E01"/>
    <w:rsid w:val="00C4028D"/>
    <w:rsid w:val="00C4549C"/>
    <w:rsid w:val="00C509FA"/>
    <w:rsid w:val="00C52242"/>
    <w:rsid w:val="00C524ED"/>
    <w:rsid w:val="00C60917"/>
    <w:rsid w:val="00C71586"/>
    <w:rsid w:val="00C74105"/>
    <w:rsid w:val="00C7649C"/>
    <w:rsid w:val="00C82A94"/>
    <w:rsid w:val="00C8312C"/>
    <w:rsid w:val="00C86925"/>
    <w:rsid w:val="00C9439D"/>
    <w:rsid w:val="00C9550E"/>
    <w:rsid w:val="00C9713D"/>
    <w:rsid w:val="00CA2178"/>
    <w:rsid w:val="00CA2B0F"/>
    <w:rsid w:val="00CA68FD"/>
    <w:rsid w:val="00CB4336"/>
    <w:rsid w:val="00CB4B28"/>
    <w:rsid w:val="00CB6FC2"/>
    <w:rsid w:val="00CB7179"/>
    <w:rsid w:val="00CC10A0"/>
    <w:rsid w:val="00CC19BA"/>
    <w:rsid w:val="00CD1122"/>
    <w:rsid w:val="00CD4A72"/>
    <w:rsid w:val="00CE535D"/>
    <w:rsid w:val="00CE5528"/>
    <w:rsid w:val="00CE62E1"/>
    <w:rsid w:val="00CE6322"/>
    <w:rsid w:val="00CF28A3"/>
    <w:rsid w:val="00CF35A5"/>
    <w:rsid w:val="00CF4C80"/>
    <w:rsid w:val="00D011E3"/>
    <w:rsid w:val="00D014DB"/>
    <w:rsid w:val="00D0266B"/>
    <w:rsid w:val="00D06058"/>
    <w:rsid w:val="00D13298"/>
    <w:rsid w:val="00D13B48"/>
    <w:rsid w:val="00D203D8"/>
    <w:rsid w:val="00D21EEE"/>
    <w:rsid w:val="00D25FD0"/>
    <w:rsid w:val="00D45ECA"/>
    <w:rsid w:val="00D46404"/>
    <w:rsid w:val="00D57C9E"/>
    <w:rsid w:val="00D604DF"/>
    <w:rsid w:val="00D60D1E"/>
    <w:rsid w:val="00D612DA"/>
    <w:rsid w:val="00D65EE2"/>
    <w:rsid w:val="00D65FFB"/>
    <w:rsid w:val="00D706A3"/>
    <w:rsid w:val="00D75EF8"/>
    <w:rsid w:val="00D86EA4"/>
    <w:rsid w:val="00D90783"/>
    <w:rsid w:val="00D944E8"/>
    <w:rsid w:val="00DA6D2D"/>
    <w:rsid w:val="00DB1F17"/>
    <w:rsid w:val="00DB6F43"/>
    <w:rsid w:val="00DC4A50"/>
    <w:rsid w:val="00DD04AD"/>
    <w:rsid w:val="00DD2C1B"/>
    <w:rsid w:val="00DD335F"/>
    <w:rsid w:val="00DD3880"/>
    <w:rsid w:val="00DD427B"/>
    <w:rsid w:val="00DD55B6"/>
    <w:rsid w:val="00DD5EF7"/>
    <w:rsid w:val="00DE224F"/>
    <w:rsid w:val="00DE6843"/>
    <w:rsid w:val="00DE7F1C"/>
    <w:rsid w:val="00DF1994"/>
    <w:rsid w:val="00DF7AD7"/>
    <w:rsid w:val="00E10AFD"/>
    <w:rsid w:val="00E11DB0"/>
    <w:rsid w:val="00E13AFD"/>
    <w:rsid w:val="00E148B6"/>
    <w:rsid w:val="00E14984"/>
    <w:rsid w:val="00E171EB"/>
    <w:rsid w:val="00E21E9F"/>
    <w:rsid w:val="00E25025"/>
    <w:rsid w:val="00E25963"/>
    <w:rsid w:val="00E2711A"/>
    <w:rsid w:val="00E27AE3"/>
    <w:rsid w:val="00E31894"/>
    <w:rsid w:val="00E32E50"/>
    <w:rsid w:val="00E37E38"/>
    <w:rsid w:val="00E46AA1"/>
    <w:rsid w:val="00E536BC"/>
    <w:rsid w:val="00E54241"/>
    <w:rsid w:val="00E54443"/>
    <w:rsid w:val="00E63171"/>
    <w:rsid w:val="00E64A7D"/>
    <w:rsid w:val="00E65D2F"/>
    <w:rsid w:val="00E67DFE"/>
    <w:rsid w:val="00E73F18"/>
    <w:rsid w:val="00E750F4"/>
    <w:rsid w:val="00E86324"/>
    <w:rsid w:val="00E87F24"/>
    <w:rsid w:val="00E92F0C"/>
    <w:rsid w:val="00E95C84"/>
    <w:rsid w:val="00E9732A"/>
    <w:rsid w:val="00EA1210"/>
    <w:rsid w:val="00EA34E7"/>
    <w:rsid w:val="00EA3F22"/>
    <w:rsid w:val="00EA414A"/>
    <w:rsid w:val="00EB1891"/>
    <w:rsid w:val="00EB72BF"/>
    <w:rsid w:val="00EC1644"/>
    <w:rsid w:val="00EC22D6"/>
    <w:rsid w:val="00EC7669"/>
    <w:rsid w:val="00ED0E5C"/>
    <w:rsid w:val="00EE2A03"/>
    <w:rsid w:val="00EE2E51"/>
    <w:rsid w:val="00EE569E"/>
    <w:rsid w:val="00EF07C5"/>
    <w:rsid w:val="00EF6008"/>
    <w:rsid w:val="00EF6D93"/>
    <w:rsid w:val="00F00CEA"/>
    <w:rsid w:val="00F00D23"/>
    <w:rsid w:val="00F0101F"/>
    <w:rsid w:val="00F0151B"/>
    <w:rsid w:val="00F110E5"/>
    <w:rsid w:val="00F1447A"/>
    <w:rsid w:val="00F16838"/>
    <w:rsid w:val="00F2172B"/>
    <w:rsid w:val="00F224BA"/>
    <w:rsid w:val="00F22B6C"/>
    <w:rsid w:val="00F236AD"/>
    <w:rsid w:val="00F26B57"/>
    <w:rsid w:val="00F26BA2"/>
    <w:rsid w:val="00F26FBA"/>
    <w:rsid w:val="00F2724B"/>
    <w:rsid w:val="00F33C9E"/>
    <w:rsid w:val="00F347D8"/>
    <w:rsid w:val="00F34C74"/>
    <w:rsid w:val="00F34F2C"/>
    <w:rsid w:val="00F35A4E"/>
    <w:rsid w:val="00F35D62"/>
    <w:rsid w:val="00F46895"/>
    <w:rsid w:val="00F51B92"/>
    <w:rsid w:val="00F52E21"/>
    <w:rsid w:val="00F603C5"/>
    <w:rsid w:val="00F643EF"/>
    <w:rsid w:val="00F6746E"/>
    <w:rsid w:val="00F71B4A"/>
    <w:rsid w:val="00F77377"/>
    <w:rsid w:val="00F779E6"/>
    <w:rsid w:val="00F77D1D"/>
    <w:rsid w:val="00F80C65"/>
    <w:rsid w:val="00F8154F"/>
    <w:rsid w:val="00F836A8"/>
    <w:rsid w:val="00F874DC"/>
    <w:rsid w:val="00F93F37"/>
    <w:rsid w:val="00F94089"/>
    <w:rsid w:val="00F97C03"/>
    <w:rsid w:val="00FA0320"/>
    <w:rsid w:val="00FA6311"/>
    <w:rsid w:val="00FC61C4"/>
    <w:rsid w:val="00FC6237"/>
    <w:rsid w:val="00FD26D8"/>
    <w:rsid w:val="00FD61CF"/>
    <w:rsid w:val="00FE0B10"/>
    <w:rsid w:val="00FE0B2F"/>
    <w:rsid w:val="00FE40AD"/>
    <w:rsid w:val="00FE45DE"/>
    <w:rsid w:val="00FE7850"/>
    <w:rsid w:val="00FF0A65"/>
    <w:rsid w:val="00FF3D4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3"/>
    <o:shapelayout v:ext="edit">
      <o:idmap v:ext="edit" data="1"/>
      <o:rules v:ext="edit">
        <o:r id="V:Rule4" type="connector" idref="#_x0000_s1030"/>
        <o:r id="V:Rule5" type="connector" idref="#_x0000_s1032"/>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8F"/>
    <w:rPr>
      <w:sz w:val="28"/>
      <w:szCs w:val="28"/>
      <w:lang w:val="en-US" w:eastAsia="en-US"/>
    </w:rPr>
  </w:style>
  <w:style w:type="paragraph" w:styleId="Heading1">
    <w:name w:val="heading 1"/>
    <w:basedOn w:val="Normal"/>
    <w:next w:val="Normal"/>
    <w:qFormat/>
    <w:rsid w:val="002E278F"/>
    <w:pPr>
      <w:widowControl w:val="0"/>
      <w:autoSpaceDE w:val="0"/>
      <w:autoSpaceDN w:val="0"/>
      <w:adjustRightInd w:val="0"/>
      <w:outlineLvl w:val="0"/>
    </w:pPr>
    <w:rPr>
      <w:sz w:val="24"/>
      <w:szCs w:val="24"/>
    </w:rPr>
  </w:style>
  <w:style w:type="paragraph" w:styleId="Heading2">
    <w:name w:val="heading 2"/>
    <w:basedOn w:val="Normal"/>
    <w:next w:val="Normal"/>
    <w:qFormat/>
    <w:rsid w:val="00F71B4A"/>
    <w:pPr>
      <w:keepNext/>
      <w:jc w:val="center"/>
      <w:outlineLvl w:val="1"/>
    </w:pPr>
    <w:rPr>
      <w:b/>
      <w:bCs/>
      <w:sz w:val="26"/>
      <w:szCs w:val="24"/>
    </w:rPr>
  </w:style>
  <w:style w:type="paragraph" w:styleId="Heading3">
    <w:name w:val="heading 3"/>
    <w:basedOn w:val="Normal"/>
    <w:next w:val="Normal"/>
    <w:qFormat/>
    <w:rsid w:val="00F71B4A"/>
    <w:pPr>
      <w:keepNext/>
      <w:jc w:val="center"/>
      <w:outlineLvl w:val="2"/>
    </w:pPr>
    <w:rPr>
      <w:b/>
      <w:bCs/>
      <w:sz w:val="24"/>
      <w:szCs w:val="24"/>
    </w:rPr>
  </w:style>
  <w:style w:type="paragraph" w:styleId="Heading5">
    <w:name w:val="heading 5"/>
    <w:basedOn w:val="Normal"/>
    <w:next w:val="Normal"/>
    <w:qFormat/>
    <w:rsid w:val="002E278F"/>
    <w:pPr>
      <w:widowControl w:val="0"/>
      <w:autoSpaceDE w:val="0"/>
      <w:autoSpaceDN w:val="0"/>
      <w:adjustRightInd w:val="0"/>
      <w:outlineLvl w:val="4"/>
    </w:pPr>
    <w:rPr>
      <w:sz w:val="24"/>
      <w:szCs w:val="24"/>
    </w:rPr>
  </w:style>
  <w:style w:type="paragraph" w:styleId="Heading8">
    <w:name w:val="heading 8"/>
    <w:basedOn w:val="Normal"/>
    <w:next w:val="Normal"/>
    <w:qFormat/>
    <w:rsid w:val="00F71B4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72C78"/>
  </w:style>
  <w:style w:type="paragraph" w:styleId="Header">
    <w:name w:val="header"/>
    <w:basedOn w:val="Normal"/>
    <w:rsid w:val="002E278F"/>
    <w:pPr>
      <w:tabs>
        <w:tab w:val="center" w:pos="4320"/>
        <w:tab w:val="right" w:pos="8640"/>
      </w:tabs>
    </w:pPr>
  </w:style>
  <w:style w:type="character" w:styleId="PageNumber">
    <w:name w:val="page number"/>
    <w:basedOn w:val="DefaultParagraphFont"/>
    <w:rsid w:val="002E278F"/>
  </w:style>
  <w:style w:type="paragraph" w:styleId="BodyText">
    <w:name w:val="Body Text"/>
    <w:basedOn w:val="Normal"/>
    <w:rsid w:val="00F71B4A"/>
    <w:pPr>
      <w:jc w:val="center"/>
    </w:pPr>
    <w:rPr>
      <w:szCs w:val="24"/>
    </w:rPr>
  </w:style>
  <w:style w:type="paragraph" w:styleId="BodyTextIndent">
    <w:name w:val="Body Text Indent"/>
    <w:basedOn w:val="Normal"/>
    <w:rsid w:val="00F71B4A"/>
    <w:pPr>
      <w:widowControl w:val="0"/>
      <w:spacing w:line="312" w:lineRule="auto"/>
      <w:ind w:firstLine="561"/>
      <w:jc w:val="both"/>
    </w:pPr>
    <w:rPr>
      <w:rFonts w:ascii=".VnTime" w:hAnsi=".VnTime"/>
      <w:szCs w:val="20"/>
    </w:rPr>
  </w:style>
  <w:style w:type="paragraph" w:styleId="BodyText2">
    <w:name w:val="Body Text 2"/>
    <w:basedOn w:val="Normal"/>
    <w:rsid w:val="00F71B4A"/>
    <w:pPr>
      <w:spacing w:line="312" w:lineRule="auto"/>
      <w:jc w:val="center"/>
    </w:pPr>
    <w:rPr>
      <w:b/>
      <w:bCs/>
      <w:szCs w:val="24"/>
    </w:rPr>
  </w:style>
  <w:style w:type="paragraph" w:styleId="Footer">
    <w:name w:val="footer"/>
    <w:basedOn w:val="Normal"/>
    <w:link w:val="FooterChar"/>
    <w:uiPriority w:val="99"/>
    <w:rsid w:val="00F71B4A"/>
    <w:pPr>
      <w:tabs>
        <w:tab w:val="center" w:pos="4320"/>
        <w:tab w:val="right" w:pos="8640"/>
      </w:tabs>
    </w:pPr>
    <w:rPr>
      <w:sz w:val="24"/>
      <w:szCs w:val="24"/>
    </w:rPr>
  </w:style>
  <w:style w:type="paragraph" w:styleId="BodyTextIndent2">
    <w:name w:val="Body Text Indent 2"/>
    <w:basedOn w:val="Normal"/>
    <w:rsid w:val="00F71B4A"/>
    <w:pPr>
      <w:spacing w:after="120" w:line="480" w:lineRule="auto"/>
      <w:ind w:left="360"/>
    </w:pPr>
    <w:rPr>
      <w:sz w:val="24"/>
      <w:szCs w:val="24"/>
    </w:rPr>
  </w:style>
  <w:style w:type="paragraph" w:styleId="BodyTextIndent3">
    <w:name w:val="Body Text Indent 3"/>
    <w:basedOn w:val="Normal"/>
    <w:rsid w:val="00F71B4A"/>
    <w:pPr>
      <w:spacing w:after="120"/>
      <w:ind w:left="360"/>
    </w:pPr>
    <w:rPr>
      <w:sz w:val="16"/>
      <w:szCs w:val="16"/>
    </w:rPr>
  </w:style>
  <w:style w:type="paragraph" w:styleId="BalloonText">
    <w:name w:val="Balloon Text"/>
    <w:basedOn w:val="Normal"/>
    <w:semiHidden/>
    <w:rsid w:val="001D2C5F"/>
    <w:rPr>
      <w:rFonts w:ascii="Tahoma" w:hAnsi="Tahoma" w:cs="Tahoma"/>
      <w:sz w:val="16"/>
      <w:szCs w:val="16"/>
    </w:rPr>
  </w:style>
  <w:style w:type="table" w:styleId="TableGrid">
    <w:name w:val="Table Grid"/>
    <w:basedOn w:val="TableNormal"/>
    <w:rsid w:val="00CA2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next w:val="Normal"/>
    <w:autoRedefine/>
    <w:semiHidden/>
    <w:rsid w:val="00020684"/>
    <w:pPr>
      <w:spacing w:before="120" w:after="120" w:line="312" w:lineRule="auto"/>
    </w:pPr>
  </w:style>
  <w:style w:type="paragraph" w:customStyle="1" w:styleId="P2">
    <w:name w:val="P2"/>
    <w:basedOn w:val="Normal"/>
    <w:autoRedefine/>
    <w:rsid w:val="001B1182"/>
    <w:pPr>
      <w:spacing w:before="120" w:after="120"/>
      <w:ind w:firstLine="720"/>
      <w:jc w:val="both"/>
    </w:pPr>
    <w:rPr>
      <w:b/>
      <w:bCs/>
      <w:szCs w:val="24"/>
      <w:lang w:val="fr-FR"/>
    </w:rPr>
  </w:style>
  <w:style w:type="character" w:customStyle="1" w:styleId="st1">
    <w:name w:val="st1"/>
    <w:basedOn w:val="DefaultParagraphFont"/>
    <w:rsid w:val="001B1182"/>
  </w:style>
  <w:style w:type="character" w:customStyle="1" w:styleId="FooterChar">
    <w:name w:val="Footer Char"/>
    <w:link w:val="Footer"/>
    <w:uiPriority w:val="99"/>
    <w:rsid w:val="000C079C"/>
    <w:rPr>
      <w:sz w:val="24"/>
      <w:szCs w:val="24"/>
    </w:rPr>
  </w:style>
  <w:style w:type="paragraph" w:customStyle="1" w:styleId="P1">
    <w:name w:val="P1"/>
    <w:basedOn w:val="Normal"/>
    <w:autoRedefine/>
    <w:rsid w:val="00786957"/>
    <w:pPr>
      <w:spacing w:before="120" w:after="120" w:line="360" w:lineRule="exact"/>
      <w:jc w:val="both"/>
    </w:pPr>
    <w:rPr>
      <w:b/>
      <w:sz w:val="24"/>
      <w:szCs w:val="24"/>
    </w:rPr>
  </w:style>
  <w:style w:type="paragraph" w:customStyle="1" w:styleId="P3">
    <w:name w:val="P3"/>
    <w:basedOn w:val="Normal"/>
    <w:autoRedefine/>
    <w:rsid w:val="00786957"/>
    <w:pPr>
      <w:numPr>
        <w:numId w:val="38"/>
      </w:numPr>
      <w:spacing w:before="120" w:after="120" w:line="360" w:lineRule="exact"/>
      <w:ind w:left="993" w:hanging="273"/>
      <w:jc w:val="both"/>
    </w:pPr>
    <w:rPr>
      <w:b/>
      <w:i/>
      <w:color w:val="000000"/>
      <w:lang w:val="nl-NL"/>
    </w:rPr>
  </w:style>
  <w:style w:type="paragraph" w:customStyle="1" w:styleId="P4">
    <w:name w:val="P4"/>
    <w:basedOn w:val="P3"/>
    <w:autoRedefine/>
    <w:rsid w:val="00786957"/>
    <w:pPr>
      <w:numPr>
        <w:numId w:val="0"/>
      </w:numPr>
      <w:ind w:left="709"/>
    </w:pPr>
    <w:rPr>
      <w:b w:val="0"/>
      <w:i w:val="0"/>
      <w:iCs/>
    </w:rPr>
  </w:style>
  <w:style w:type="paragraph" w:styleId="TOC2">
    <w:name w:val="toc 2"/>
    <w:basedOn w:val="Normal"/>
    <w:next w:val="Normal"/>
    <w:autoRedefine/>
    <w:semiHidden/>
    <w:rsid w:val="00786957"/>
    <w:pPr>
      <w:tabs>
        <w:tab w:val="right" w:leader="dot" w:pos="9062"/>
      </w:tabs>
      <w:spacing w:before="120" w:after="120" w:line="360" w:lineRule="exact"/>
      <w:ind w:firstLine="240"/>
    </w:pPr>
    <w:rPr>
      <w:noProof/>
      <w:sz w:val="24"/>
      <w:szCs w:val="24"/>
    </w:rPr>
  </w:style>
  <w:style w:type="paragraph" w:styleId="TOC1">
    <w:name w:val="toc 1"/>
    <w:basedOn w:val="Normal"/>
    <w:next w:val="Normal"/>
    <w:autoRedefine/>
    <w:semiHidden/>
    <w:rsid w:val="00786957"/>
    <w:pPr>
      <w:tabs>
        <w:tab w:val="right" w:leader="dot" w:pos="9062"/>
      </w:tabs>
      <w:spacing w:before="120" w:after="120" w:line="360" w:lineRule="exact"/>
    </w:pPr>
    <w:rPr>
      <w:sz w:val="26"/>
      <w:szCs w:val="26"/>
    </w:rPr>
  </w:style>
  <w:style w:type="paragraph" w:styleId="TOC3">
    <w:name w:val="toc 3"/>
    <w:basedOn w:val="Normal"/>
    <w:next w:val="Normal"/>
    <w:autoRedefine/>
    <w:semiHidden/>
    <w:rsid w:val="00786957"/>
    <w:pPr>
      <w:tabs>
        <w:tab w:val="right" w:leader="dot" w:pos="9062"/>
      </w:tabs>
      <w:spacing w:before="120" w:after="120"/>
      <w:ind w:firstLine="240"/>
    </w:pPr>
    <w:rPr>
      <w:sz w:val="24"/>
      <w:szCs w:val="24"/>
    </w:rPr>
  </w:style>
  <w:style w:type="paragraph" w:styleId="TOC4">
    <w:name w:val="toc 4"/>
    <w:basedOn w:val="Normal"/>
    <w:next w:val="Normal"/>
    <w:autoRedefine/>
    <w:semiHidden/>
    <w:rsid w:val="00786957"/>
    <w:pPr>
      <w:tabs>
        <w:tab w:val="right" w:leader="dot" w:pos="9062"/>
      </w:tabs>
      <w:ind w:firstLine="240"/>
    </w:pPr>
    <w:rPr>
      <w:noProof/>
      <w:sz w:val="24"/>
      <w:szCs w:val="24"/>
    </w:rPr>
  </w:style>
  <w:style w:type="character" w:styleId="Hyperlink">
    <w:name w:val="Hyperlink"/>
    <w:rsid w:val="00786957"/>
    <w:rPr>
      <w:color w:val="0000FF"/>
      <w:u w:val="single"/>
    </w:rPr>
  </w:style>
  <w:style w:type="paragraph" w:customStyle="1" w:styleId="Char">
    <w:name w:val="Char"/>
    <w:basedOn w:val="Normal"/>
    <w:rsid w:val="00786957"/>
    <w:pPr>
      <w:pageBreakBefore/>
      <w:spacing w:before="100" w:beforeAutospacing="1" w:after="100" w:afterAutospacing="1"/>
    </w:pPr>
    <w:rPr>
      <w:rFonts w:ascii="Tahoma" w:hAnsi="Tahoma" w:cs="Tahoma"/>
      <w:sz w:val="20"/>
      <w:szCs w:val="20"/>
    </w:rPr>
  </w:style>
  <w:style w:type="paragraph" w:customStyle="1" w:styleId="CharCharCharChar">
    <w:name w:val="Char Char Char Char"/>
    <w:basedOn w:val="Normal"/>
    <w:semiHidden/>
    <w:rsid w:val="00786957"/>
    <w:pPr>
      <w:spacing w:after="160" w:line="240" w:lineRule="exact"/>
    </w:pPr>
    <w:rPr>
      <w:rFonts w:ascii="Arial" w:hAnsi="Arial"/>
      <w:sz w:val="22"/>
      <w:szCs w:val="22"/>
    </w:rPr>
  </w:style>
  <w:style w:type="paragraph" w:customStyle="1" w:styleId="Char1">
    <w:name w:val="Char1"/>
    <w:basedOn w:val="Normal"/>
    <w:rsid w:val="00786957"/>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786957"/>
    <w:pPr>
      <w:spacing w:before="120" w:line="400" w:lineRule="exact"/>
      <w:ind w:left="720" w:firstLine="720"/>
      <w:contextualSpacing/>
      <w:jc w:val="both"/>
    </w:pPr>
    <w:rPr>
      <w:rFonts w:eastAsia="Calibri"/>
      <w:szCs w:val="22"/>
    </w:rPr>
  </w:style>
  <w:style w:type="character" w:styleId="Strong">
    <w:name w:val="Strong"/>
    <w:uiPriority w:val="22"/>
    <w:qFormat/>
    <w:rsid w:val="00786957"/>
    <w:rPr>
      <w:b/>
      <w:bCs/>
    </w:rPr>
  </w:style>
  <w:style w:type="character" w:styleId="Emphasis">
    <w:name w:val="Emphasis"/>
    <w:qFormat/>
    <w:rsid w:val="00786957"/>
    <w:rPr>
      <w:i/>
      <w:iCs/>
    </w:rPr>
  </w:style>
  <w:style w:type="paragraph" w:styleId="Revision">
    <w:name w:val="Revision"/>
    <w:hidden/>
    <w:uiPriority w:val="99"/>
    <w:semiHidden/>
    <w:rsid w:val="00F643EF"/>
    <w:rPr>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DC7A-8CE2-40E6-9FF1-31101525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4733</Words>
  <Characters>16763</Characters>
  <Application>Microsoft Office Word</Application>
  <DocSecurity>0</DocSecurity>
  <Lines>139</Lines>
  <Paragraphs>42</Paragraphs>
  <ScaleCrop>false</ScaleCrop>
  <HeadingPairs>
    <vt:vector size="2" baseType="variant">
      <vt:variant>
        <vt:lpstr>Title</vt:lpstr>
      </vt:variant>
      <vt:variant>
        <vt:i4>1</vt:i4>
      </vt:variant>
    </vt:vector>
  </HeadingPairs>
  <TitlesOfParts>
    <vt:vector size="1" baseType="lpstr">
      <vt:lpstr>Quyetdinh</vt:lpstr>
    </vt:vector>
  </TitlesOfParts>
  <Company>Asus Coporation</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Quyetdinh</dc:title>
  <dc:creator>P5GZMX</dc:creator>
  <cp:lastModifiedBy>nguyenmaiphuong</cp:lastModifiedBy>
  <cp:revision>4</cp:revision>
  <cp:lastPrinted>2014-03-25T09:26:00Z</cp:lastPrinted>
  <dcterms:created xsi:type="dcterms:W3CDTF">2014-03-28T07:49:00Z</dcterms:created>
  <dcterms:modified xsi:type="dcterms:W3CDTF">2014-03-28T08:47:00Z</dcterms:modified>
</cp:coreProperties>
</file>